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E4" w:rsidRPr="00614BE4" w:rsidRDefault="00614BE4" w:rsidP="00614BE4">
      <w:pPr>
        <w:rPr>
          <w:rFonts w:ascii="Arial" w:hAnsi="Arial" w:cs="Times New Roman"/>
          <w:color w:val="222222"/>
        </w:rPr>
      </w:pPr>
      <w:r w:rsidRPr="00614BE4">
        <w:rPr>
          <w:rFonts w:ascii="georgia" w:hAnsi="georgia" w:cs="Times New Roman"/>
          <w:color w:val="000000"/>
        </w:rPr>
        <w:t>Bogotá, 9 de diciembre de 2014.</w:t>
      </w:r>
    </w:p>
    <w:p w:rsidR="00614BE4" w:rsidRPr="00614BE4" w:rsidRDefault="00614BE4" w:rsidP="00614BE4">
      <w:pPr>
        <w:rPr>
          <w:rFonts w:ascii="Arial" w:hAnsi="Arial" w:cs="Times New Roman"/>
          <w:color w:val="222222"/>
        </w:rPr>
      </w:pPr>
      <w:r w:rsidRPr="00614BE4">
        <w:rPr>
          <w:rFonts w:ascii="georgia" w:hAnsi="georgia" w:cs="Times New Roman"/>
          <w:color w:val="000000"/>
        </w:rPr>
        <w:br/>
      </w:r>
    </w:p>
    <w:p w:rsidR="00614BE4" w:rsidRPr="00614BE4" w:rsidRDefault="00614BE4" w:rsidP="00614BE4">
      <w:pPr>
        <w:rPr>
          <w:rFonts w:ascii="Arial" w:hAnsi="Arial" w:cs="Times New Roman"/>
          <w:color w:val="222222"/>
        </w:rPr>
      </w:pPr>
      <w:r w:rsidRPr="00614BE4">
        <w:rPr>
          <w:rFonts w:ascii="georgia" w:hAnsi="georgia" w:cs="Times New Roman"/>
          <w:b/>
          <w:bCs/>
          <w:color w:val="000000"/>
        </w:rPr>
        <w:t xml:space="preserve">Colombia avanza en la construcción de bibliotecas pero continúan los obstáculos legales para su funcionamiento </w:t>
      </w:r>
    </w:p>
    <w:p w:rsidR="00614BE4" w:rsidRPr="00614BE4" w:rsidRDefault="00614BE4" w:rsidP="00614BE4">
      <w:pPr>
        <w:rPr>
          <w:rFonts w:ascii="Arial" w:eastAsia="Times New Roman" w:hAnsi="Arial" w:cs="Times New Roman"/>
          <w:color w:val="222222"/>
        </w:rPr>
      </w:pPr>
      <w:r w:rsidRPr="00614BE4">
        <w:rPr>
          <w:rFonts w:ascii="georgia" w:eastAsia="Times New Roman" w:hAnsi="georgia" w:cs="Times New Roman"/>
          <w:b/>
          <w:bCs/>
          <w:color w:val="000000"/>
        </w:rPr>
        <w:br/>
      </w:r>
    </w:p>
    <w:p w:rsidR="00614BE4" w:rsidRPr="00614BE4" w:rsidRDefault="00614BE4" w:rsidP="00614BE4">
      <w:pPr>
        <w:rPr>
          <w:rFonts w:ascii="Arial" w:hAnsi="Arial" w:cs="Times New Roman"/>
          <w:color w:val="222222"/>
        </w:rPr>
      </w:pPr>
      <w:r w:rsidRPr="00614BE4">
        <w:rPr>
          <w:rFonts w:ascii="georgia" w:hAnsi="georgia" w:cs="Times New Roman"/>
          <w:color w:val="000000"/>
        </w:rPr>
        <w:t xml:space="preserve">La Organización Mundial de la Propiedad Intelectual OMPI celebra del 8 al 12 de Diciembre de 2014 una nueva reunión del </w:t>
      </w:r>
      <w:hyperlink r:id="rId6" w:history="1">
        <w:r w:rsidRPr="00614BE4">
          <w:rPr>
            <w:rFonts w:ascii="georgia" w:hAnsi="georgia" w:cs="Times New Roman"/>
            <w:color w:val="1155CC"/>
            <w:u w:val="single"/>
          </w:rPr>
          <w:t>Comité Permanente sobre Derechos de Autor y Derechos Conexos SCCR29</w:t>
        </w:r>
      </w:hyperlink>
      <w:r w:rsidRPr="00614BE4">
        <w:rPr>
          <w:rFonts w:ascii="georgia" w:hAnsi="georgia" w:cs="Times New Roman"/>
          <w:color w:val="000000"/>
        </w:rPr>
        <w:t xml:space="preserve">, en donde se discutirá un tema fundamental para Colombia: la creación de un instrumento internacional que garantice la labor de las bibliotecas y los archivos. </w:t>
      </w:r>
    </w:p>
    <w:p w:rsidR="00614BE4" w:rsidRPr="00614BE4" w:rsidRDefault="00614BE4" w:rsidP="00614BE4">
      <w:pPr>
        <w:rPr>
          <w:rFonts w:ascii="Arial" w:hAnsi="Arial" w:cs="Times New Roman"/>
          <w:color w:val="222222"/>
        </w:rPr>
      </w:pPr>
      <w:r w:rsidRPr="00614BE4">
        <w:rPr>
          <w:rFonts w:ascii="georgia" w:hAnsi="georgia" w:cs="Times New Roman"/>
          <w:color w:val="000000"/>
        </w:rPr>
        <w:br/>
      </w:r>
    </w:p>
    <w:p w:rsidR="00614BE4" w:rsidRDefault="00614BE4" w:rsidP="00614BE4">
      <w:pPr>
        <w:rPr>
          <w:rFonts w:ascii="georgia" w:hAnsi="georgia" w:cs="Times New Roman"/>
          <w:color w:val="000000"/>
        </w:rPr>
      </w:pPr>
      <w:r w:rsidRPr="00614BE4">
        <w:rPr>
          <w:rFonts w:ascii="georgia" w:hAnsi="georgia" w:cs="Times New Roman"/>
          <w:color w:val="000000"/>
        </w:rPr>
        <w:t xml:space="preserve">Es fundamental porque, como lo afirma El Tiempo, </w:t>
      </w:r>
      <w:hyperlink r:id="rId7" w:history="1">
        <w:r w:rsidRPr="00614BE4">
          <w:rPr>
            <w:rFonts w:ascii="georgia" w:hAnsi="georgia" w:cs="Times New Roman"/>
            <w:color w:val="1155CC"/>
            <w:u w:val="single"/>
          </w:rPr>
          <w:t>“Colombia cuenta con 1404 bibliotecas públicas sostenidas total o parcialmente por el Estado”</w:t>
        </w:r>
      </w:hyperlink>
      <w:r w:rsidRPr="00614BE4">
        <w:rPr>
          <w:rFonts w:ascii="georgia" w:hAnsi="georgia" w:cs="Times New Roman"/>
          <w:color w:val="000000"/>
        </w:rPr>
        <w:t>. Aunque muchas de ellas son la principal fuente de acceso al conocimiento de una población, lo cierto es que las leyes que las regulan han favorecido a la industria editorial y no a los usuarios. En Colombia, por ejemplo, la ley de derecho de autor no garantiza el préstamo externo de libros ni de otras obras.</w:t>
      </w:r>
    </w:p>
    <w:p w:rsidR="00614BE4" w:rsidRPr="00614BE4" w:rsidRDefault="00614BE4" w:rsidP="00614BE4">
      <w:pPr>
        <w:rPr>
          <w:rFonts w:ascii="Arial" w:hAnsi="Arial" w:cs="Times New Roman"/>
          <w:color w:val="222222"/>
        </w:rPr>
      </w:pPr>
      <w:bookmarkStart w:id="0" w:name="_GoBack"/>
      <w:bookmarkEnd w:id="0"/>
    </w:p>
    <w:p w:rsidR="00614BE4" w:rsidRPr="00614BE4" w:rsidRDefault="00614BE4" w:rsidP="00614BE4">
      <w:pPr>
        <w:rPr>
          <w:rFonts w:ascii="Arial" w:hAnsi="Arial" w:cs="Times New Roman"/>
          <w:color w:val="222222"/>
        </w:rPr>
      </w:pPr>
      <w:r w:rsidRPr="00614BE4">
        <w:rPr>
          <w:rFonts w:ascii="georgia" w:hAnsi="georgia" w:cs="Times New Roman"/>
          <w:color w:val="000000"/>
        </w:rPr>
        <w:t>Diferentes colectivos y organizaciones de la sociedad civil presentaron ante la Dirección Nacional de Derecho de Autor (DNDA) -órgano técnico del gobierno en esta discusión- y a la delegación permanente de la Cancillería colombiana,</w:t>
      </w:r>
      <w:hyperlink r:id="rId8" w:history="1">
        <w:r w:rsidRPr="00614BE4">
          <w:rPr>
            <w:rFonts w:ascii="georgia" w:hAnsi="georgia" w:cs="Times New Roman"/>
            <w:color w:val="1155CC"/>
            <w:u w:val="single"/>
          </w:rPr>
          <w:t xml:space="preserve"> un documento que recoge comentarios, preocupaciones y propuestas frente al tema de las “Limitaciones y excepciones para bibliotecas y archivos”</w:t>
        </w:r>
      </w:hyperlink>
      <w:r w:rsidRPr="00614BE4">
        <w:rPr>
          <w:rFonts w:ascii="georgia" w:hAnsi="georgia" w:cs="Times New Roman"/>
          <w:color w:val="000000"/>
        </w:rPr>
        <w:t xml:space="preserve"> con el objetivo de que el gobierno conozca la perspectiva de los bibliotecarios, archivistas, usuarios de bibliotecas y escritores colombianos y asuma una posición en el debate que incluya esta visión. Esta solicitud busca que la DNDA y la Cancillería apoyen la creación de un instrumento jurídico de obligatorio cumplimiento, es decir, de un Tratado Internacional que favorezca a todas las bibliotecas y archivos del mundo.  </w:t>
      </w:r>
    </w:p>
    <w:p w:rsidR="00614BE4" w:rsidRPr="00614BE4" w:rsidRDefault="00614BE4" w:rsidP="00614BE4">
      <w:pPr>
        <w:rPr>
          <w:rFonts w:ascii="Arial" w:hAnsi="Arial" w:cs="Times New Roman"/>
          <w:color w:val="222222"/>
        </w:rPr>
      </w:pPr>
      <w:r w:rsidRPr="00614BE4">
        <w:rPr>
          <w:rFonts w:ascii="georgia" w:hAnsi="georgia" w:cs="Times New Roman"/>
          <w:color w:val="000000"/>
        </w:rPr>
        <w:br/>
      </w:r>
    </w:p>
    <w:p w:rsidR="00614BE4" w:rsidRPr="00614BE4" w:rsidRDefault="00614BE4" w:rsidP="00614BE4">
      <w:pPr>
        <w:rPr>
          <w:rFonts w:ascii="Arial" w:hAnsi="Arial" w:cs="Times New Roman"/>
          <w:color w:val="222222"/>
        </w:rPr>
      </w:pPr>
      <w:hyperlink r:id="rId9" w:history="1">
        <w:r w:rsidRPr="00614BE4">
          <w:rPr>
            <w:rFonts w:ascii="georgia" w:hAnsi="georgia" w:cs="Times New Roman"/>
            <w:color w:val="1155CC"/>
            <w:u w:val="single"/>
          </w:rPr>
          <w:t>Quienes firman la solicitud</w:t>
        </w:r>
      </w:hyperlink>
      <w:r w:rsidRPr="00614BE4">
        <w:rPr>
          <w:rFonts w:ascii="georgia" w:hAnsi="georgia" w:cs="Times New Roman"/>
          <w:color w:val="000000"/>
        </w:rPr>
        <w:t>, aseguran: “</w:t>
      </w:r>
      <w:r w:rsidRPr="00614BE4">
        <w:rPr>
          <w:rFonts w:ascii="georgia" w:hAnsi="georgia" w:cs="Times New Roman"/>
          <w:i/>
          <w:iCs/>
          <w:color w:val="000000"/>
        </w:rPr>
        <w:t>Vemos con preocupación que las limitaciones y excepciones para bibliotecas y archivos vigentes en Colombia no consiguen equilibrar los derechos de los autores y titulares, con el mandato constitucional de las bibliotecas y archivos de garantizar el derecho a la información y la cultura, y con los derechos fundamentales de las personas de acceder al conocimiento y a la educación, a la ciencia y a desarrollar las capacidades para informarse y participar en la vida cultural”</w:t>
      </w:r>
    </w:p>
    <w:p w:rsidR="00614BE4" w:rsidRPr="00614BE4" w:rsidRDefault="00614BE4" w:rsidP="00614BE4">
      <w:pPr>
        <w:rPr>
          <w:rFonts w:ascii="Arial" w:hAnsi="Arial" w:cs="Times New Roman"/>
          <w:color w:val="222222"/>
        </w:rPr>
      </w:pPr>
      <w:r w:rsidRPr="00614BE4">
        <w:rPr>
          <w:rFonts w:ascii="georgia" w:hAnsi="georgia" w:cs="Times New Roman"/>
          <w:i/>
          <w:iCs/>
          <w:color w:val="000000"/>
        </w:rPr>
        <w:br/>
      </w:r>
    </w:p>
    <w:p w:rsidR="00614BE4" w:rsidRPr="00614BE4" w:rsidRDefault="00614BE4" w:rsidP="00614BE4">
      <w:pPr>
        <w:rPr>
          <w:rFonts w:ascii="Arial" w:hAnsi="Arial" w:cs="Times New Roman"/>
          <w:color w:val="222222"/>
        </w:rPr>
      </w:pPr>
      <w:hyperlink r:id="rId10" w:history="1">
        <w:r w:rsidRPr="00614BE4">
          <w:rPr>
            <w:rFonts w:ascii="georgia" w:hAnsi="georgia" w:cs="Times New Roman"/>
            <w:color w:val="1155CC"/>
            <w:u w:val="single"/>
          </w:rPr>
          <w:t>Amalia Toledo</w:t>
        </w:r>
      </w:hyperlink>
      <w:r w:rsidRPr="00614BE4">
        <w:rPr>
          <w:rFonts w:ascii="georgia" w:hAnsi="georgia" w:cs="Times New Roman"/>
          <w:color w:val="000000"/>
        </w:rPr>
        <w:t xml:space="preserve">, investigadora de la </w:t>
      </w:r>
      <w:hyperlink r:id="rId11" w:history="1">
        <w:r w:rsidRPr="00614BE4">
          <w:rPr>
            <w:rFonts w:ascii="georgia" w:hAnsi="georgia" w:cs="Times New Roman"/>
            <w:color w:val="1155CC"/>
            <w:u w:val="single"/>
          </w:rPr>
          <w:t xml:space="preserve">Fundación </w:t>
        </w:r>
        <w:proofErr w:type="spellStart"/>
        <w:r w:rsidRPr="00614BE4">
          <w:rPr>
            <w:rFonts w:ascii="georgia" w:hAnsi="georgia" w:cs="Times New Roman"/>
            <w:color w:val="1155CC"/>
            <w:u w:val="single"/>
          </w:rPr>
          <w:t>Karisma</w:t>
        </w:r>
        <w:proofErr w:type="spellEnd"/>
      </w:hyperlink>
      <w:r w:rsidRPr="00614BE4">
        <w:rPr>
          <w:rFonts w:ascii="georgia" w:hAnsi="georgia" w:cs="Times New Roman"/>
          <w:color w:val="000000"/>
        </w:rPr>
        <w:t xml:space="preserve">, una organización de la sociedad civil colombiana que ha venido participando en estas discusiones (lo hizo en </w:t>
      </w:r>
      <w:hyperlink r:id="rId12" w:history="1">
        <w:r w:rsidRPr="00614BE4">
          <w:rPr>
            <w:rFonts w:ascii="georgia" w:hAnsi="georgia" w:cs="Times New Roman"/>
            <w:color w:val="1155CC"/>
            <w:u w:val="single"/>
          </w:rPr>
          <w:t>diciembre 2013</w:t>
        </w:r>
      </w:hyperlink>
      <w:r w:rsidRPr="00614BE4">
        <w:rPr>
          <w:rFonts w:ascii="georgia" w:hAnsi="georgia" w:cs="Times New Roman"/>
          <w:color w:val="000000"/>
        </w:rPr>
        <w:t xml:space="preserve"> y en </w:t>
      </w:r>
      <w:hyperlink r:id="rId13" w:history="1">
        <w:r w:rsidRPr="00614BE4">
          <w:rPr>
            <w:rFonts w:ascii="georgia" w:hAnsi="georgia" w:cs="Times New Roman"/>
            <w:color w:val="1155CC"/>
            <w:u w:val="single"/>
          </w:rPr>
          <w:t>abril y junio 2014</w:t>
        </w:r>
      </w:hyperlink>
      <w:r w:rsidRPr="00614BE4">
        <w:rPr>
          <w:rFonts w:ascii="georgia" w:hAnsi="georgia" w:cs="Times New Roman"/>
          <w:color w:val="000000"/>
        </w:rPr>
        <w:t xml:space="preserve">), comenta desde Ginebra </w:t>
      </w:r>
      <w:r w:rsidRPr="00614BE4">
        <w:rPr>
          <w:rFonts w:ascii="georgia" w:hAnsi="georgia" w:cs="Times New Roman"/>
          <w:i/>
          <w:iCs/>
          <w:color w:val="000000"/>
        </w:rPr>
        <w:t>“La discusión se enfrenta con una fuerte oposición de la Unión Europea y de sus países miembros, quienes destacan que el sistema internacional de derecho de autor ya es suficiente. En su lugar, alegan que la solución no está en un instrumento internacional vinculante, sino en la cooperación técnica y el intercambio de experiencia” .</w:t>
      </w:r>
    </w:p>
    <w:p w:rsidR="00614BE4" w:rsidRPr="00614BE4" w:rsidRDefault="00614BE4" w:rsidP="00614BE4">
      <w:pPr>
        <w:rPr>
          <w:rFonts w:ascii="Arial" w:hAnsi="Arial" w:cs="Times New Roman"/>
          <w:color w:val="222222"/>
        </w:rPr>
      </w:pPr>
      <w:r w:rsidRPr="00614BE4">
        <w:rPr>
          <w:rFonts w:ascii="georgia" w:hAnsi="georgia" w:cs="Times New Roman"/>
          <w:i/>
          <w:iCs/>
          <w:color w:val="000000"/>
        </w:rPr>
        <w:lastRenderedPageBreak/>
        <w:br/>
      </w:r>
    </w:p>
    <w:p w:rsidR="00614BE4" w:rsidRPr="00614BE4" w:rsidRDefault="00614BE4" w:rsidP="00614BE4">
      <w:pPr>
        <w:rPr>
          <w:rFonts w:ascii="Arial" w:hAnsi="Arial" w:cs="Times New Roman"/>
          <w:color w:val="222222"/>
        </w:rPr>
      </w:pPr>
      <w:r w:rsidRPr="00614BE4">
        <w:rPr>
          <w:rFonts w:ascii="georgia" w:hAnsi="georgia" w:cs="Times New Roman"/>
          <w:color w:val="000000"/>
        </w:rPr>
        <w:t>Esta posición va en contra del instrumento jurídico por el que están luchando las bibliotecas, archivos y la sociedad civil del mundo, y que beneficiaría especialmente a países en desarrollo como Colombia. Con este instrumento, las bibliotecas y archivos no dependerían de la voluntad de las editoriales, ni de los titulares, ni de la acción de los gobiernos de reformar la legislación de manera incompleta y/o imprecisa, o de no hacerlo nunca. Sino que contarían con una herramienta que establecería pautas mínimas para garantizar su labor.</w:t>
      </w:r>
    </w:p>
    <w:p w:rsidR="00614BE4" w:rsidRPr="00614BE4" w:rsidRDefault="00614BE4" w:rsidP="00614BE4">
      <w:pPr>
        <w:rPr>
          <w:rFonts w:ascii="Arial" w:hAnsi="Arial" w:cs="Times New Roman"/>
          <w:color w:val="222222"/>
        </w:rPr>
      </w:pPr>
      <w:r w:rsidRPr="00614BE4">
        <w:rPr>
          <w:rFonts w:ascii="georgia" w:hAnsi="georgia" w:cs="Times New Roman"/>
          <w:color w:val="000000"/>
        </w:rPr>
        <w:br/>
      </w:r>
    </w:p>
    <w:p w:rsidR="00614BE4" w:rsidRPr="00614BE4" w:rsidRDefault="00614BE4" w:rsidP="00614BE4">
      <w:pPr>
        <w:rPr>
          <w:rFonts w:ascii="Arial" w:hAnsi="Arial" w:cs="Times New Roman"/>
          <w:color w:val="222222"/>
        </w:rPr>
      </w:pPr>
      <w:r w:rsidRPr="00614BE4">
        <w:rPr>
          <w:rFonts w:ascii="georgia" w:hAnsi="georgia" w:cs="Times New Roman"/>
          <w:color w:val="000000"/>
        </w:rPr>
        <w:t xml:space="preserve">Para estar atentos a la posición que adopte Colombia y sobre el curso de las discusiones en Ginebra, pueden seguir en </w:t>
      </w:r>
      <w:proofErr w:type="spellStart"/>
      <w:r w:rsidRPr="00614BE4">
        <w:rPr>
          <w:rFonts w:ascii="georgia" w:hAnsi="georgia" w:cs="Times New Roman"/>
          <w:color w:val="000000"/>
        </w:rPr>
        <w:t>twitter</w:t>
      </w:r>
      <w:proofErr w:type="spellEnd"/>
      <w:r w:rsidRPr="00614BE4">
        <w:rPr>
          <w:rFonts w:ascii="georgia" w:hAnsi="georgia" w:cs="Times New Roman"/>
          <w:color w:val="000000"/>
        </w:rPr>
        <w:t xml:space="preserve"> el </w:t>
      </w:r>
      <w:proofErr w:type="spellStart"/>
      <w:r w:rsidRPr="00614BE4">
        <w:rPr>
          <w:rFonts w:ascii="georgia" w:hAnsi="georgia" w:cs="Times New Roman"/>
          <w:color w:val="000000"/>
        </w:rPr>
        <w:t>Hashtag</w:t>
      </w:r>
      <w:proofErr w:type="spellEnd"/>
      <w:r w:rsidRPr="00614BE4">
        <w:rPr>
          <w:rFonts w:ascii="georgia" w:hAnsi="georgia" w:cs="Times New Roman"/>
          <w:color w:val="000000"/>
        </w:rPr>
        <w:t xml:space="preserve"> #</w:t>
      </w:r>
      <w:hyperlink r:id="rId14" w:history="1">
        <w:proofErr w:type="spellStart"/>
        <w:r w:rsidRPr="00614BE4">
          <w:rPr>
            <w:rFonts w:ascii="georgia" w:hAnsi="georgia" w:cs="Times New Roman"/>
            <w:color w:val="1155CC"/>
            <w:u w:val="single"/>
          </w:rPr>
          <w:t>ColOMPI</w:t>
        </w:r>
        <w:proofErr w:type="spellEnd"/>
      </w:hyperlink>
      <w:r w:rsidRPr="00614BE4">
        <w:rPr>
          <w:rFonts w:ascii="georgia" w:hAnsi="georgia" w:cs="Times New Roman"/>
          <w:color w:val="000000"/>
        </w:rPr>
        <w:t xml:space="preserve"> o a la investigadora Amalia Toledo en </w:t>
      </w:r>
      <w:proofErr w:type="spellStart"/>
      <w:r w:rsidRPr="00614BE4">
        <w:rPr>
          <w:rFonts w:ascii="georgia" w:hAnsi="georgia" w:cs="Times New Roman"/>
          <w:color w:val="000000"/>
        </w:rPr>
        <w:t>twitter</w:t>
      </w:r>
      <w:proofErr w:type="spellEnd"/>
      <w:r w:rsidRPr="00614BE4">
        <w:rPr>
          <w:rFonts w:ascii="georgia" w:hAnsi="georgia" w:cs="Times New Roman"/>
          <w:color w:val="000000"/>
        </w:rPr>
        <w:t>: </w:t>
      </w:r>
      <w:hyperlink r:id="rId15" w:history="1">
        <w:r w:rsidRPr="00614BE4">
          <w:rPr>
            <w:rFonts w:ascii="georgia" w:hAnsi="georgia" w:cs="Times New Roman"/>
            <w:color w:val="1155CC"/>
          </w:rPr>
          <w:t>@</w:t>
        </w:r>
        <w:proofErr w:type="spellStart"/>
        <w:r w:rsidRPr="00614BE4">
          <w:rPr>
            <w:rFonts w:ascii="georgia" w:hAnsi="georgia" w:cs="Times New Roman"/>
            <w:color w:val="1155CC"/>
          </w:rPr>
          <w:t>amalia_toledo</w:t>
        </w:r>
        <w:proofErr w:type="spellEnd"/>
      </w:hyperlink>
    </w:p>
    <w:p w:rsidR="00614BE4" w:rsidRPr="00614BE4" w:rsidRDefault="00614BE4" w:rsidP="00614BE4">
      <w:pPr>
        <w:spacing w:before="100" w:beforeAutospacing="1" w:after="100" w:afterAutospacing="1"/>
        <w:rPr>
          <w:rFonts w:ascii="Arial" w:hAnsi="Arial" w:cs="Times New Roman"/>
          <w:color w:val="222222"/>
        </w:rPr>
      </w:pPr>
    </w:p>
    <w:p w:rsidR="00614BE4" w:rsidRPr="00614BE4" w:rsidRDefault="00614BE4" w:rsidP="00614BE4">
      <w:pPr>
        <w:rPr>
          <w:rFonts w:ascii="Arial" w:hAnsi="Arial" w:cs="Times New Roman"/>
          <w:color w:val="222222"/>
        </w:rPr>
      </w:pPr>
      <w:r w:rsidRPr="00614BE4">
        <w:rPr>
          <w:rFonts w:ascii="georgia" w:hAnsi="georgia" w:cs="Times New Roman"/>
          <w:b/>
          <w:bCs/>
          <w:color w:val="000000"/>
        </w:rPr>
        <w:t>Más información</w:t>
      </w:r>
    </w:p>
    <w:p w:rsidR="00614BE4" w:rsidRPr="00614BE4" w:rsidRDefault="00614BE4" w:rsidP="00614BE4">
      <w:pPr>
        <w:rPr>
          <w:rFonts w:ascii="Arial" w:hAnsi="Arial" w:cs="Times New Roman"/>
          <w:color w:val="222222"/>
        </w:rPr>
      </w:pPr>
      <w:r w:rsidRPr="00614BE4">
        <w:rPr>
          <w:rFonts w:ascii="georgia" w:hAnsi="georgia" w:cs="Times New Roman"/>
          <w:b/>
          <w:bCs/>
          <w:color w:val="000000"/>
        </w:rPr>
        <w:br/>
      </w:r>
    </w:p>
    <w:p w:rsidR="00614BE4" w:rsidRPr="00614BE4" w:rsidRDefault="00614BE4" w:rsidP="00614BE4">
      <w:pPr>
        <w:numPr>
          <w:ilvl w:val="0"/>
          <w:numId w:val="1"/>
        </w:numPr>
        <w:textAlignment w:val="baseline"/>
        <w:rPr>
          <w:rFonts w:ascii="Arial" w:hAnsi="Arial" w:cs="Times New Roman"/>
          <w:color w:val="222222"/>
        </w:rPr>
      </w:pPr>
      <w:r w:rsidRPr="00614BE4">
        <w:rPr>
          <w:rFonts w:ascii="georgia" w:hAnsi="georgia" w:cs="Times New Roman"/>
          <w:color w:val="000000"/>
        </w:rPr>
        <w:t>Petición ciudadana a la DNDA firmada por</w:t>
      </w:r>
      <w:hyperlink r:id="rId16" w:history="1">
        <w:r w:rsidRPr="00614BE4">
          <w:rPr>
            <w:rFonts w:ascii="georgia" w:hAnsi="georgia" w:cs="Times New Roman"/>
            <w:color w:val="1155CC"/>
          </w:rPr>
          <w:t xml:space="preserve"> </w:t>
        </w:r>
        <w:r w:rsidRPr="00614BE4">
          <w:rPr>
            <w:rFonts w:ascii="georgia" w:hAnsi="georgia" w:cs="Times New Roman"/>
            <w:color w:val="1155CC"/>
            <w:u w:val="single"/>
          </w:rPr>
          <w:t>359 personas</w:t>
        </w:r>
      </w:hyperlink>
      <w:r w:rsidRPr="00614BE4">
        <w:rPr>
          <w:rFonts w:ascii="georgia" w:hAnsi="georgia" w:cs="Times New Roman"/>
          <w:color w:val="000000"/>
        </w:rPr>
        <w:t>, solicitando que Colombia apoye un instrumento jurídico vinculante en favor de bibliotecas y archivos</w:t>
      </w:r>
    </w:p>
    <w:p w:rsidR="00614BE4" w:rsidRPr="00614BE4" w:rsidRDefault="00614BE4" w:rsidP="00614BE4">
      <w:pPr>
        <w:numPr>
          <w:ilvl w:val="0"/>
          <w:numId w:val="1"/>
        </w:numPr>
        <w:textAlignment w:val="baseline"/>
        <w:rPr>
          <w:rFonts w:ascii="Arial" w:hAnsi="Arial" w:cs="Times New Roman"/>
          <w:color w:val="222222"/>
        </w:rPr>
      </w:pPr>
      <w:r w:rsidRPr="00614BE4">
        <w:rPr>
          <w:rFonts w:ascii="georgia" w:hAnsi="georgia" w:cs="Times New Roman"/>
          <w:color w:val="000000"/>
        </w:rPr>
        <w:t xml:space="preserve">Comentarios entregados a la DNDA y a la Cancillería a propósito del comité </w:t>
      </w:r>
      <w:hyperlink r:id="rId17" w:history="1">
        <w:r w:rsidRPr="00614BE4">
          <w:rPr>
            <w:rFonts w:ascii="georgia" w:hAnsi="georgia" w:cs="Times New Roman"/>
            <w:color w:val="1155CC"/>
            <w:u w:val="single"/>
          </w:rPr>
          <w:t>SCCR29</w:t>
        </w:r>
      </w:hyperlink>
    </w:p>
    <w:p w:rsidR="00614BE4" w:rsidRPr="00614BE4" w:rsidRDefault="00614BE4" w:rsidP="00614BE4">
      <w:pPr>
        <w:numPr>
          <w:ilvl w:val="0"/>
          <w:numId w:val="1"/>
        </w:numPr>
        <w:textAlignment w:val="baseline"/>
        <w:rPr>
          <w:rFonts w:ascii="Arial" w:hAnsi="Arial" w:cs="Times New Roman"/>
          <w:color w:val="222222"/>
        </w:rPr>
      </w:pPr>
      <w:hyperlink r:id="rId18" w:history="1">
        <w:r w:rsidRPr="00614BE4">
          <w:rPr>
            <w:rFonts w:ascii="georgia" w:hAnsi="georgia" w:cs="Times New Roman"/>
            <w:color w:val="1155CC"/>
            <w:u w:val="single"/>
          </w:rPr>
          <w:t>Firmantes que apoyan</w:t>
        </w:r>
      </w:hyperlink>
      <w:r w:rsidRPr="00614BE4">
        <w:rPr>
          <w:rFonts w:ascii="georgia" w:hAnsi="georgia" w:cs="Times New Roman"/>
          <w:color w:val="000000"/>
        </w:rPr>
        <w:t xml:space="preserve"> la solicitud.</w:t>
      </w:r>
    </w:p>
    <w:p w:rsidR="00324646" w:rsidRDefault="00324646"/>
    <w:sectPr w:rsidR="00324646" w:rsidSect="0016033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4D0"/>
    <w:multiLevelType w:val="multilevel"/>
    <w:tmpl w:val="A35E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4"/>
    <w:rsid w:val="0016033D"/>
    <w:rsid w:val="00324646"/>
    <w:rsid w:val="00614B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02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4BE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614B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4BE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614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7209">
      <w:bodyDiv w:val="1"/>
      <w:marLeft w:val="0"/>
      <w:marRight w:val="0"/>
      <w:marTop w:val="0"/>
      <w:marBottom w:val="0"/>
      <w:divBdr>
        <w:top w:val="none" w:sz="0" w:space="0" w:color="auto"/>
        <w:left w:val="none" w:sz="0" w:space="0" w:color="auto"/>
        <w:bottom w:val="none" w:sz="0" w:space="0" w:color="auto"/>
        <w:right w:val="none" w:sz="0" w:space="0" w:color="auto"/>
      </w:divBdr>
      <w:divsChild>
        <w:div w:id="2144543065">
          <w:marLeft w:val="0"/>
          <w:marRight w:val="0"/>
          <w:marTop w:val="0"/>
          <w:marBottom w:val="0"/>
          <w:divBdr>
            <w:top w:val="none" w:sz="0" w:space="0" w:color="auto"/>
            <w:left w:val="none" w:sz="0" w:space="0" w:color="auto"/>
            <w:bottom w:val="none" w:sz="0" w:space="0" w:color="auto"/>
            <w:right w:val="none" w:sz="0" w:space="0" w:color="auto"/>
          </w:divBdr>
        </w:div>
        <w:div w:id="1833716805">
          <w:marLeft w:val="0"/>
          <w:marRight w:val="0"/>
          <w:marTop w:val="0"/>
          <w:marBottom w:val="0"/>
          <w:divBdr>
            <w:top w:val="none" w:sz="0" w:space="0" w:color="auto"/>
            <w:left w:val="none" w:sz="0" w:space="0" w:color="auto"/>
            <w:bottom w:val="none" w:sz="0" w:space="0" w:color="auto"/>
            <w:right w:val="none" w:sz="0" w:space="0" w:color="auto"/>
          </w:divBdr>
        </w:div>
        <w:div w:id="327055045">
          <w:marLeft w:val="0"/>
          <w:marRight w:val="0"/>
          <w:marTop w:val="0"/>
          <w:marBottom w:val="0"/>
          <w:divBdr>
            <w:top w:val="none" w:sz="0" w:space="0" w:color="auto"/>
            <w:left w:val="none" w:sz="0" w:space="0" w:color="auto"/>
            <w:bottom w:val="none" w:sz="0" w:space="0" w:color="auto"/>
            <w:right w:val="none" w:sz="0" w:space="0" w:color="auto"/>
          </w:divBdr>
          <w:divsChild>
            <w:div w:id="605312619">
              <w:marLeft w:val="0"/>
              <w:marRight w:val="0"/>
              <w:marTop w:val="0"/>
              <w:marBottom w:val="0"/>
              <w:divBdr>
                <w:top w:val="none" w:sz="0" w:space="0" w:color="auto"/>
                <w:left w:val="none" w:sz="0" w:space="0" w:color="auto"/>
                <w:bottom w:val="none" w:sz="0" w:space="0" w:color="auto"/>
                <w:right w:val="none" w:sz="0" w:space="0" w:color="auto"/>
              </w:divBdr>
            </w:div>
            <w:div w:id="1812021056">
              <w:marLeft w:val="0"/>
              <w:marRight w:val="0"/>
              <w:marTop w:val="0"/>
              <w:marBottom w:val="0"/>
              <w:divBdr>
                <w:top w:val="none" w:sz="0" w:space="0" w:color="auto"/>
                <w:left w:val="none" w:sz="0" w:space="0" w:color="auto"/>
                <w:bottom w:val="none" w:sz="0" w:space="0" w:color="auto"/>
                <w:right w:val="none" w:sz="0" w:space="0" w:color="auto"/>
              </w:divBdr>
            </w:div>
            <w:div w:id="104427568">
              <w:marLeft w:val="0"/>
              <w:marRight w:val="0"/>
              <w:marTop w:val="0"/>
              <w:marBottom w:val="0"/>
              <w:divBdr>
                <w:top w:val="none" w:sz="0" w:space="0" w:color="auto"/>
                <w:left w:val="none" w:sz="0" w:space="0" w:color="auto"/>
                <w:bottom w:val="none" w:sz="0" w:space="0" w:color="auto"/>
                <w:right w:val="none" w:sz="0" w:space="0" w:color="auto"/>
              </w:divBdr>
            </w:div>
            <w:div w:id="2024818697">
              <w:marLeft w:val="0"/>
              <w:marRight w:val="0"/>
              <w:marTop w:val="0"/>
              <w:marBottom w:val="0"/>
              <w:divBdr>
                <w:top w:val="none" w:sz="0" w:space="0" w:color="auto"/>
                <w:left w:val="none" w:sz="0" w:space="0" w:color="auto"/>
                <w:bottom w:val="none" w:sz="0" w:space="0" w:color="auto"/>
                <w:right w:val="none" w:sz="0" w:space="0" w:color="auto"/>
              </w:divBdr>
              <w:divsChild>
                <w:div w:id="54164403">
                  <w:marLeft w:val="0"/>
                  <w:marRight w:val="0"/>
                  <w:marTop w:val="0"/>
                  <w:marBottom w:val="0"/>
                  <w:divBdr>
                    <w:top w:val="none" w:sz="0" w:space="0" w:color="auto"/>
                    <w:left w:val="none" w:sz="0" w:space="0" w:color="auto"/>
                    <w:bottom w:val="none" w:sz="0" w:space="0" w:color="auto"/>
                    <w:right w:val="none" w:sz="0" w:space="0" w:color="auto"/>
                  </w:divBdr>
                </w:div>
                <w:div w:id="763577815">
                  <w:marLeft w:val="0"/>
                  <w:marRight w:val="0"/>
                  <w:marTop w:val="0"/>
                  <w:marBottom w:val="0"/>
                  <w:divBdr>
                    <w:top w:val="none" w:sz="0" w:space="0" w:color="auto"/>
                    <w:left w:val="none" w:sz="0" w:space="0" w:color="auto"/>
                    <w:bottom w:val="none" w:sz="0" w:space="0" w:color="auto"/>
                    <w:right w:val="none" w:sz="0" w:space="0" w:color="auto"/>
                  </w:divBdr>
                  <w:divsChild>
                    <w:div w:id="755171676">
                      <w:marLeft w:val="0"/>
                      <w:marRight w:val="0"/>
                      <w:marTop w:val="0"/>
                      <w:marBottom w:val="0"/>
                      <w:divBdr>
                        <w:top w:val="none" w:sz="0" w:space="0" w:color="auto"/>
                        <w:left w:val="none" w:sz="0" w:space="0" w:color="auto"/>
                        <w:bottom w:val="none" w:sz="0" w:space="0" w:color="auto"/>
                        <w:right w:val="none" w:sz="0" w:space="0" w:color="auto"/>
                      </w:divBdr>
                    </w:div>
                    <w:div w:id="817570716">
                      <w:marLeft w:val="0"/>
                      <w:marRight w:val="0"/>
                      <w:marTop w:val="0"/>
                      <w:marBottom w:val="0"/>
                      <w:divBdr>
                        <w:top w:val="none" w:sz="0" w:space="0" w:color="auto"/>
                        <w:left w:val="none" w:sz="0" w:space="0" w:color="auto"/>
                        <w:bottom w:val="none" w:sz="0" w:space="0" w:color="auto"/>
                        <w:right w:val="none" w:sz="0" w:space="0" w:color="auto"/>
                      </w:divBdr>
                    </w:div>
                    <w:div w:id="861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ki.nomono.co/index.php?title=Colombia_en_el_SCCR_29" TargetMode="External"/><Relationship Id="rId20" Type="http://schemas.openxmlformats.org/officeDocument/2006/relationships/theme" Target="theme/theme1.xml"/><Relationship Id="rId10" Type="http://schemas.openxmlformats.org/officeDocument/2006/relationships/hyperlink" Target="https://twitter.com/amalia_toledo" TargetMode="External"/><Relationship Id="rId11" Type="http://schemas.openxmlformats.org/officeDocument/2006/relationships/hyperlink" Target="http://karisma.org.co/" TargetMode="External"/><Relationship Id="rId12" Type="http://schemas.openxmlformats.org/officeDocument/2006/relationships/hyperlink" Target="http://karisma.org.co/?p=3791" TargetMode="External"/><Relationship Id="rId13" Type="http://schemas.openxmlformats.org/officeDocument/2006/relationships/hyperlink" Target="http://karisma.org.co/?p=4150" TargetMode="External"/><Relationship Id="rId14" Type="http://schemas.openxmlformats.org/officeDocument/2006/relationships/hyperlink" Target="https://twitter.com/search?q=%23ColOMPI&amp;src=typd" TargetMode="External"/><Relationship Id="rId15" Type="http://schemas.openxmlformats.org/officeDocument/2006/relationships/hyperlink" Target="https://twitter.com/amalia_toledo" TargetMode="External"/><Relationship Id="rId16" Type="http://schemas.openxmlformats.org/officeDocument/2006/relationships/hyperlink" Target="https://secure.avaaz.org/es/petition/Giancarlo_Marcerano_Director_Direccion_Nacional_de_Derecho_de_Autor_Le_pedimos_que_apoye_excepciones_y_limitciones_para_/?tatYAgb" TargetMode="External"/><Relationship Id="rId17" Type="http://schemas.openxmlformats.org/officeDocument/2006/relationships/hyperlink" Target="http://wiki.nomono.co/images/7/79/2014-11-27-SolicitudSCCR29.pdf" TargetMode="External"/><Relationship Id="rId18" Type="http://schemas.openxmlformats.org/officeDocument/2006/relationships/hyperlink" Target="http://wiki.nomono.co/index.php?title=Colombia_en_el_SCCR_29"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po.int/meetings/es/details.jsp?meeting_id=32086" TargetMode="External"/><Relationship Id="rId7" Type="http://schemas.openxmlformats.org/officeDocument/2006/relationships/hyperlink" Target="http://www.eltiempo.com/entretenimiento/musica-y-libros/bibliotecas-publicas-en-colombia/14944835" TargetMode="External"/><Relationship Id="rId8" Type="http://schemas.openxmlformats.org/officeDocument/2006/relationships/hyperlink" Target="http://wiki.nomono.co/images/7/79/2014-11-27-SolicitudSCCR2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4135</Characters>
  <Application>Microsoft Macintosh Word</Application>
  <DocSecurity>0</DocSecurity>
  <Lines>34</Lines>
  <Paragraphs>9</Paragraphs>
  <ScaleCrop>false</ScaleCrop>
  <Company>Casa</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Tejada</dc:creator>
  <cp:keywords/>
  <dc:description/>
  <cp:lastModifiedBy>Miguel  Tejada</cp:lastModifiedBy>
  <cp:revision>1</cp:revision>
  <dcterms:created xsi:type="dcterms:W3CDTF">2014-12-10T00:56:00Z</dcterms:created>
  <dcterms:modified xsi:type="dcterms:W3CDTF">2014-12-10T00:58:00Z</dcterms:modified>
</cp:coreProperties>
</file>