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ind w:left="0" w:firstLine="0"/>
        <w:contextualSpacing w:val="0"/>
        <w:jc w:val="center"/>
      </w:pPr>
      <w:r w:rsidDel="00000000" w:rsidR="00000000" w:rsidRPr="00000000">
        <w:rPr>
          <w:b w:val="1"/>
          <w:rtl w:val="0"/>
        </w:rPr>
        <w:t xml:space="preserve">Submission to the Office of the United States Trade Representative</w:t>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t xml:space="preserve">In the matter of</w:t>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t xml:space="preserve">2017 Special 301 Review: Identification of Countries Under Section 182 of the Trade Act of 1974</w:t>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Fonts w:ascii="Helvetica Neue" w:cs="Helvetica Neue" w:eastAsia="Helvetica Neue" w:hAnsi="Helvetica Neue"/>
          <w:color w:val="333333"/>
          <w:sz w:val="21"/>
          <w:szCs w:val="21"/>
          <w:rtl w:val="0"/>
        </w:rPr>
        <w:t xml:space="preserve">Docket No. USTR-2016-0026</w:t>
      </w: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t xml:space="preserve">Comments of Colombian Civil Society Organizations</w:t>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t xml:space="preserve">Bogotá, February 9th 2017  </w:t>
      </w:r>
    </w:p>
    <w:p w:rsidR="00000000" w:rsidDel="00000000" w:rsidP="00000000" w:rsidRDefault="00000000" w:rsidRPr="00000000">
      <w:pPr>
        <w:pStyle w:val="Heading1"/>
        <w:widowControl w:val="0"/>
        <w:contextualSpacing w:val="0"/>
        <w:jc w:val="both"/>
      </w:pPr>
      <w:bookmarkStart w:colFirst="0" w:colLast="0" w:name="_dm7bkexn20ex" w:id="0"/>
      <w:bookmarkEnd w:id="0"/>
      <w:r w:rsidDel="00000000" w:rsidR="00000000" w:rsidRPr="00000000">
        <w:rPr>
          <w:rtl w:val="0"/>
        </w:rPr>
        <w:t xml:space="preserve">I.Introduction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As a group of Colombian non-‐governmental organizations seeking to defend and protect  important  public interests and fundamental human rights within the discourse of Intellectual Property, we want to participate again this year commenting on the many gaps present in the Special 301 Process and Report.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The Karisma Foundation is an organization of Colombian civil society which, since 2011, has participated in the public debate on the reform of copyright driven by Colombia FTA signed with the US. In addition, Karisma has submitted observations on his own behalf and on joint statements with other NGOs, through  the  group  Program on Information Justice and  Intellectual Property (PIJIP,  for  its  acronym  in  English)  of  the  American  University Washington College of Law, during the proceedings of the Special Report 301 in 2011 and  2013</w:t>
      </w:r>
      <w:r w:rsidDel="00000000" w:rsidR="00000000" w:rsidRPr="00000000">
        <w:rPr>
          <w:vertAlign w:val="superscript"/>
        </w:rPr>
        <w:footnoteReference w:customMarkFollows="0" w:id="0"/>
      </w:r>
      <w:r w:rsidDel="00000000" w:rsidR="00000000" w:rsidRPr="00000000">
        <w:rPr>
          <w:rtl w:val="0"/>
        </w:rPr>
        <w:t xml:space="preserve">,  and  since  2014  we  do  it  with  other  organizations  of Colombian civil society every year.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IFARMA is a Colombian non-­‐profit organization, established in accordance with the law,  within the Constitution and with a social objective. IFARMA fulfills its purpose through specialized  research  and  political  advocacy  on  issues  related  to  policies’  formulation  and  implementation;  management,  access,  use  and  quality  of  medicines;  and  issues  related to intellectual property and access to medicines with national and international  reach.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Misión  Salud  is  a  Colombian  nonprofit  civil  society  organization  whose  goal  since  its  inception in 1998, is to promote and defend the right of Colombians to health and access  to  medicines.  Misión  Salud  advocates  in  national  and  international  arenas  to  promote  that  government  institutions  prioritize  public  health  over  commercial  interests  in  the  formulation  and  implementation  of  policies,  trade  agreements  and  regulations  related  to intellectual property and pharmaceuticals. In this sense, we presented our comments  on  the  2014, 2015</w:t>
      </w:r>
      <w:r w:rsidDel="00000000" w:rsidR="00000000" w:rsidRPr="00000000">
        <w:rPr>
          <w:vertAlign w:val="superscript"/>
        </w:rPr>
        <w:footnoteReference w:customMarkFollows="0" w:id="1"/>
      </w:r>
      <w:r w:rsidDel="00000000" w:rsidR="00000000" w:rsidRPr="00000000">
        <w:rPr>
          <w:rtl w:val="0"/>
        </w:rPr>
        <w:t xml:space="preserve"> and 2016</w:t>
      </w:r>
      <w:r w:rsidDel="00000000" w:rsidR="00000000" w:rsidRPr="00000000">
        <w:rPr>
          <w:vertAlign w:val="superscript"/>
        </w:rPr>
        <w:footnoteReference w:customMarkFollows="0" w:id="2"/>
      </w:r>
      <w:r w:rsidDel="00000000" w:rsidR="00000000" w:rsidRPr="00000000">
        <w:rPr>
          <w:rtl w:val="0"/>
        </w:rPr>
        <w:t xml:space="preserve"> Special  301  Reports  along  with  other  organizations  of  Colombian civil society.   </w:t>
      </w: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The  substantive  comments  regarding  the  Special  301  process  and  report  we  have  presented  collectively  since  2014  remain  applicable,  so  this  submission  re­‐articulates  many  of  the  considerations  presented  in  the  past  in  the  light  of  the  </w:t>
      </w:r>
      <w:r w:rsidDel="00000000" w:rsidR="00000000" w:rsidRPr="00000000">
        <w:rPr>
          <w:rtl w:val="0"/>
        </w:rPr>
        <w:t xml:space="preserve">2017</w:t>
      </w:r>
      <w:r w:rsidDel="00000000" w:rsidR="00000000" w:rsidRPr="00000000">
        <w:rPr>
          <w:rtl w:val="0"/>
        </w:rPr>
        <w:t xml:space="preserve">  Special  301  Process.</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pStyle w:val="Heading1"/>
        <w:widowControl w:val="0"/>
        <w:contextualSpacing w:val="0"/>
        <w:jc w:val="both"/>
      </w:pPr>
      <w:bookmarkStart w:colFirst="0" w:colLast="0" w:name="_6r9iycgkwydt" w:id="1"/>
      <w:bookmarkEnd w:id="1"/>
      <w:r w:rsidDel="00000000" w:rsidR="00000000" w:rsidRPr="00000000">
        <w:rPr>
          <w:rtl w:val="0"/>
        </w:rPr>
        <w:t xml:space="preserve">II.  The  unilateral  adjudication  of  trade  disputes  through  the  Special  301,  with  respect to the agreements signed within the WTO, violates the Dispute Settlement Understanding of the WTO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As we did last year, we must insist that "</w:t>
      </w:r>
      <w:r w:rsidDel="00000000" w:rsidR="00000000" w:rsidRPr="00000000">
        <w:rPr>
          <w:i w:val="1"/>
          <w:rtl w:val="0"/>
        </w:rPr>
        <w:t xml:space="preserve">the  current  use  and  operation  of  the  program as a set of increasingly serious ‘watch lists’ ending in a priority foreign country listing with a specific trade sanction process violates the World Trade Organization’s ban  on  unilateral  adjudication  of  trade  disputes</w:t>
      </w:r>
      <w:r w:rsidDel="00000000" w:rsidR="00000000" w:rsidRPr="00000000">
        <w:rPr>
          <w:rtl w:val="0"/>
        </w:rPr>
        <w:t xml:space="preserve">",  and  it  should  be  assessed  as  such  by  all trading partners of  the  United  States</w:t>
      </w:r>
      <w:r w:rsidDel="00000000" w:rsidR="00000000" w:rsidRPr="00000000">
        <w:rPr>
          <w:vertAlign w:val="superscript"/>
        </w:rPr>
        <w:footnoteReference w:customMarkFollows="0" w:id="3"/>
      </w:r>
      <w:r w:rsidDel="00000000" w:rsidR="00000000" w:rsidRPr="00000000">
        <w:rPr>
          <w:rtl w:val="0"/>
        </w:rPr>
        <w:t xml:space="preserve">.  In this sense, we continue to support  the other comments submitted in 2014 by the PIJIP</w:t>
      </w:r>
      <w:r w:rsidDel="00000000" w:rsidR="00000000" w:rsidRPr="00000000">
        <w:rPr>
          <w:vertAlign w:val="superscript"/>
        </w:rPr>
        <w:footnoteReference w:customMarkFollows="0" w:id="4"/>
      </w:r>
      <w:r w:rsidDel="00000000" w:rsidR="00000000" w:rsidRPr="00000000">
        <w:rPr>
          <w:rtl w:val="0"/>
        </w:rPr>
        <w:t xml:space="preserve">, which delves into that argument.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Articles  23.1  and  23.2  (a)  of  the  Dispute  Settlement  Understanding  (DSU)  of  the  WTO  establish: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jc w:val="both"/>
      </w:pPr>
      <w:r w:rsidDel="00000000" w:rsidR="00000000" w:rsidRPr="00000000">
        <w:rPr>
          <w:i w:val="1"/>
          <w:rtl w:val="0"/>
        </w:rPr>
        <w:t xml:space="preserve">1. When Members seek the redress of a violation of obligations or other nullification  or impairment of benefits under the covered agreements or an impediment to the  attainment  of  any  objective  of  the  covered  agreements,  they  shall  have  recourse  to,  and abide by, the rules and procedures of this Understanding.  </w:t>
      </w:r>
    </w:p>
    <w:p w:rsidR="00000000" w:rsidDel="00000000" w:rsidP="00000000" w:rsidRDefault="00000000" w:rsidRPr="00000000">
      <w:pPr>
        <w:keepNext w:val="0"/>
        <w:keepLines w:val="0"/>
        <w:widowControl w:val="0"/>
        <w:ind w:left="720" w:firstLine="0"/>
        <w:contextualSpacing w:val="0"/>
        <w:jc w:val="both"/>
      </w:pPr>
      <w:r w:rsidDel="00000000" w:rsidR="00000000" w:rsidRPr="00000000">
        <w:rPr>
          <w:i w:val="1"/>
          <w:rtl w:val="0"/>
        </w:rPr>
        <w:t xml:space="preserve">2. In such cases, Members shall:  </w:t>
      </w:r>
    </w:p>
    <w:p w:rsidR="00000000" w:rsidDel="00000000" w:rsidP="00000000" w:rsidRDefault="00000000" w:rsidRPr="00000000">
      <w:pPr>
        <w:keepNext w:val="0"/>
        <w:keepLines w:val="0"/>
        <w:widowControl w:val="0"/>
        <w:ind w:left="720" w:firstLine="0"/>
        <w:contextualSpacing w:val="0"/>
        <w:jc w:val="both"/>
      </w:pPr>
      <w:r w:rsidDel="00000000" w:rsidR="00000000" w:rsidRPr="00000000">
        <w:rPr>
          <w:i w:val="1"/>
          <w:rtl w:val="0"/>
        </w:rPr>
        <w:t xml:space="preserve">(a)  not  make  a  determination  to  the  effect  that  a  violation  has  occurred,  that  benefits have been nullified or impaired or that the attainment of any objective of  the  covered  agreements  has  been  impeded,  except  through  recourse  to  dispute  settlement  in  accordance  with  the  rules  and  procedures  of  this  Understanding,  and  shall  make  any  such  determination  consistent  with  the  findings  contained  in  the  panel  or  Appellate  Body  report  adopted  by  the  DSB  or  an  arbitration  award  rendered under this Understanding;   </w:t>
      </w:r>
      <w:r w:rsidDel="00000000" w:rsidR="00000000" w:rsidRPr="00000000">
        <w:rPr>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Thus, Article 23 of the DSU of the WTO, by requiring the application of WTO multilateral  system  for  resolving  trade  disputes,  not  only  excludes  unilateral  action  for  the determination of "violations", but also prevents the implementation of other forums or unilateral mechanisms for the resolution of disputes concerning WTO.</w:t>
      </w:r>
      <w:r w:rsidDel="00000000" w:rsidR="00000000" w:rsidRPr="00000000">
        <w:rPr>
          <w:vertAlign w:val="superscript"/>
        </w:rPr>
        <w:footnoteReference w:customMarkFollows="0" w:id="5"/>
      </w:r>
      <w:r w:rsidDel="00000000" w:rsidR="00000000" w:rsidRPr="00000000">
        <w:rPr>
          <w:rtl w:val="0"/>
        </w:rPr>
        <w:t xml:space="preserve">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“[Special  301]  promotes  an  environment  where  different  approaches  to  TRIPS  implementation are framed as ‘rule of law’ problems, rather than deliberate legislative choices,  and  therefore  delegitimises  those  choices”.</w:t>
      </w:r>
      <w:r w:rsidDel="00000000" w:rsidR="00000000" w:rsidRPr="00000000">
        <w:rPr>
          <w:vertAlign w:val="superscript"/>
        </w:rPr>
        <w:footnoteReference w:customMarkFollows="0" w:id="6"/>
      </w:r>
      <w:r w:rsidDel="00000000" w:rsidR="00000000" w:rsidRPr="00000000">
        <w:rPr>
          <w:rtl w:val="0"/>
        </w:rPr>
        <w:t xml:space="preserve">  It  is  to  avoid  such  effects  that  Article 23 of the DSU takes special sense, and therefore all Member States of the WTO  should both respect it and enforce it.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pStyle w:val="Heading1"/>
        <w:widowControl w:val="0"/>
        <w:contextualSpacing w:val="0"/>
        <w:jc w:val="both"/>
      </w:pPr>
      <w:bookmarkStart w:colFirst="0" w:colLast="0" w:name="_dsllve341pow" w:id="2"/>
      <w:bookmarkEnd w:id="2"/>
      <w:r w:rsidDel="00000000" w:rsidR="00000000" w:rsidRPr="00000000">
        <w:rPr>
          <w:rtl w:val="0"/>
        </w:rPr>
        <w:t xml:space="preserve">III. Other general concerns regarding the Special 301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The  undersigned  agree  with  other  important  general  concerns  raised  by  the  PIJIP  in  2013, and we denounce: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numPr>
          <w:ilvl w:val="0"/>
          <w:numId w:val="2"/>
        </w:numPr>
        <w:ind w:left="720" w:hanging="360"/>
        <w:contextualSpacing w:val="1"/>
        <w:jc w:val="both"/>
        <w:rPr>
          <w:u w:val="none"/>
        </w:rPr>
      </w:pPr>
      <w:r w:rsidDel="00000000" w:rsidR="00000000" w:rsidRPr="00000000">
        <w:rPr>
          <w:rtl w:val="0"/>
        </w:rPr>
        <w:t xml:space="preserve">“that the 301 process and report fails to implement stated U.S policy promoting  balanced  intellectual  property  policy  on  major  public  interest  issues,  including  on  policies  affecting  access  to  affordable  medications  in  poor  countries  and  promotion of users’ rights in copyright policy;"   Precisely,  Special  301  process  and report are used to apply pressure against the use of human rights safeguards  by  middle-­‐  and  low-­‐income  countries</w:t>
      </w:r>
      <w:r w:rsidDel="00000000" w:rsidR="00000000" w:rsidRPr="00000000">
        <w:rPr>
          <w:vertAlign w:val="superscript"/>
        </w:rPr>
        <w:footnoteReference w:customMarkFollows="0" w:id="7"/>
      </w:r>
      <w:r w:rsidDel="00000000" w:rsidR="00000000" w:rsidRPr="00000000">
        <w:rPr>
          <w:rtl w:val="0"/>
        </w:rPr>
        <w:t xml:space="preserve">,  blocking  the  exercise  of  rights  under  international law (TRIPS Agreement and Doha Declaration, for example) in favor of nations. It is important to emphasize that these are not mere exceptions or faculties but rights. With the difference that, because they are directly related to human rights, they are of higher category than commercial interests.</w:t>
      </w:r>
    </w:p>
    <w:p w:rsidR="00000000" w:rsidDel="00000000" w:rsidP="00000000" w:rsidRDefault="00000000" w:rsidRPr="00000000">
      <w:pPr>
        <w:keepNext w:val="0"/>
        <w:keepLines w:val="0"/>
        <w:widowControl w:val="0"/>
        <w:numPr>
          <w:ilvl w:val="0"/>
          <w:numId w:val="2"/>
        </w:numPr>
        <w:ind w:left="720" w:hanging="360"/>
        <w:contextualSpacing w:val="1"/>
        <w:jc w:val="both"/>
        <w:rPr>
          <w:u w:val="none"/>
        </w:rPr>
      </w:pPr>
      <w:r w:rsidDel="00000000" w:rsidR="00000000" w:rsidRPr="00000000">
        <w:rPr>
          <w:rtl w:val="0"/>
        </w:rPr>
        <w:t xml:space="preserve">"that  the  definition  of  what  is  ‘adequate  and  effective  intellectual  property  protection’  cannot  follow  a  one  size  fits  all  model  where  every  country  in  the  world is expected to have the same rules and interpretations as possessed by the  United States– such a norm ignores the painful fact of gross income disparity in  developing  countries  which  incentivizes  monopoly  holders  to  price  the  great  majority populations (at least 90%) out of the market;”</w:t>
      </w:r>
    </w:p>
    <w:p w:rsidR="00000000" w:rsidDel="00000000" w:rsidP="00000000" w:rsidRDefault="00000000" w:rsidRPr="00000000">
      <w:pPr>
        <w:keepNext w:val="0"/>
        <w:keepLines w:val="0"/>
        <w:widowControl w:val="0"/>
        <w:numPr>
          <w:ilvl w:val="0"/>
          <w:numId w:val="2"/>
        </w:numPr>
        <w:ind w:left="720" w:hanging="360"/>
        <w:contextualSpacing w:val="1"/>
        <w:jc w:val="both"/>
        <w:rPr>
          <w:u w:val="none"/>
        </w:rPr>
      </w:pPr>
      <w:r w:rsidDel="00000000" w:rsidR="00000000" w:rsidRPr="00000000">
        <w:rPr>
          <w:rtl w:val="0"/>
        </w:rPr>
        <w:t xml:space="preserve">"the process for considering public submissions is inadequate and leads to arbitrary and capricious outcomes in the report.”  </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Clearly, the Special Program 301 and its list are unilateral instruments that should cease to  exist:  (1)  They  "may  ‘disrupt  the  very  stability  and  equilibrium  which  multilateral  dispute  resolution  was  meant  to  foster"  (2)  Its  use  to  threaten  to  "trade  sanctions  for  TRIPS and FTA compliant policies violates the WTO Accord," and (3) it continues to be used as an illegitimate mechanism for pressuring countries through a denouncing list.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pStyle w:val="Heading1"/>
        <w:widowControl w:val="0"/>
        <w:contextualSpacing w:val="0"/>
        <w:jc w:val="both"/>
      </w:pPr>
      <w:bookmarkStart w:colFirst="0" w:colLast="0" w:name="_fv1542i3vz6g" w:id="3"/>
      <w:bookmarkEnd w:id="3"/>
      <w:r w:rsidDel="00000000" w:rsidR="00000000" w:rsidRPr="00000000">
        <w:rPr>
          <w:rtl w:val="0"/>
        </w:rPr>
        <w:t xml:space="preserve">IV. </w:t>
      </w:r>
      <w:r w:rsidDel="00000000" w:rsidR="00000000" w:rsidRPr="00000000">
        <w:rPr>
          <w:rtl w:val="0"/>
        </w:rPr>
        <w:t xml:space="preserve">Colombia</w:t>
      </w:r>
      <w:r w:rsidDel="00000000" w:rsidR="00000000" w:rsidRPr="00000000">
        <w:rPr>
          <w:rtl w:val="0"/>
        </w:rPr>
        <w:t xml:space="preserve">’s measures to ensure the fulfillment of citizens’ fundamental rights  can  not  be  considered  to  harm  an  “adequate  and  effective  intellectual  property  protection"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Colombia  has  been  taking  measures  (and  must  take  many  more)  to  ensure  the  fulfillment  of  citizen’s  fundamental  rights,  which  are  above  individuals’  or  countries  trade’  interests,  and  it  can  not  be  legitimately  considered  that  such  fulfillment  harms  an  "adequate and effective intellectual property protection".</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Furthermore,  high­‐income  countries  are  called  upon  to  protect  the  fulfillment  of  citizens’  fundamental  rights  in  order  to  comply  with  international  cooperation  obligations  for  promoting  the  welfare  of  mankind,  therefore,  they  should  not  harm  developing countries with trade provisions.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Moreover,  since  the  intellectual  property  rights’  model  has  failed  as  a  mechanism  to  encourage  innovation  and  access  to  its  fruits,</w:t>
      </w:r>
      <w:r w:rsidDel="00000000" w:rsidR="00000000" w:rsidRPr="00000000">
        <w:rPr>
          <w:vertAlign w:val="superscript"/>
        </w:rPr>
        <w:footnoteReference w:customMarkFollows="0" w:id="8"/>
      </w:r>
      <w:r w:rsidDel="00000000" w:rsidR="00000000" w:rsidRPr="00000000">
        <w:rPr>
          <w:rtl w:val="0"/>
        </w:rPr>
        <w:t xml:space="preserve"> </w:t>
      </w:r>
      <w:r w:rsidDel="00000000" w:rsidR="00000000" w:rsidRPr="00000000">
        <w:rPr>
          <w:vertAlign w:val="superscript"/>
        </w:rPr>
        <w:footnoteReference w:customMarkFollows="0" w:id="9"/>
      </w:r>
      <w:r w:rsidDel="00000000" w:rsidR="00000000" w:rsidRPr="00000000">
        <w:rPr>
          <w:rtl w:val="0"/>
        </w:rPr>
        <w:t xml:space="preserve"> trading  partners  of  the  United  States  should  make  considerable  efforts  towards  finding  other  models  that  effectively  encourage  the  development  of  accessible  and  affordable  solutions  to  social  challenges of  the world, before acting in response to this unilateral program and its list.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pStyle w:val="Heading1"/>
        <w:widowControl w:val="0"/>
        <w:contextualSpacing w:val="0"/>
        <w:jc w:val="both"/>
      </w:pPr>
      <w:bookmarkStart w:colFirst="0" w:colLast="0" w:name="_bd2gs6gyun2v" w:id="4"/>
      <w:bookmarkEnd w:id="4"/>
      <w:r w:rsidDel="00000000" w:rsidR="00000000" w:rsidRPr="00000000">
        <w:rPr>
          <w:rtl w:val="0"/>
        </w:rPr>
        <w:t xml:space="preserve">V. Colombia and the 2016 Special 301 Report</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 xml:space="preserve">In the 2016 report Colombia remains in the watch list. Moreover there was a call for specific out-of-cycle reports  that will assess </w:t>
      </w:r>
      <w:r w:rsidDel="00000000" w:rsidR="00000000" w:rsidRPr="00000000">
        <w:rPr>
          <w:i w:val="1"/>
          <w:rtl w:val="0"/>
        </w:rPr>
        <w:t xml:space="preserve">“Colombia’s commitments to the IP provisions of the United States- Colombia Trade Promotion Agreement and to monitor the implementation of Colombia’s National Development Plan”</w:t>
      </w:r>
      <w:r w:rsidDel="00000000" w:rsidR="00000000" w:rsidRPr="00000000">
        <w:rPr>
          <w:rtl w:val="0"/>
        </w:rPr>
        <w:t xml:space="preserve">. The 301 Special Report in 2016 still recognizes efforts from the Colombian Government  to  implement  the  Free  Trade  Agreement  and  the  provisions  thereof,  but the country  remains in the watch list.</w:t>
      </w:r>
      <w:r w:rsidDel="00000000" w:rsidR="00000000" w:rsidRPr="00000000">
        <w:rPr>
          <w:rtl w:val="0"/>
        </w:rPr>
        <w:t xml:space="preserve">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 xml:space="preserve">The  undersigned  </w:t>
      </w:r>
      <w:r w:rsidDel="00000000" w:rsidR="00000000" w:rsidRPr="00000000">
        <w:rPr>
          <w:b w:val="1"/>
          <w:rtl w:val="0"/>
        </w:rPr>
        <w:t xml:space="preserve">do  not  recognize  the  legitimacy  of  the  list  301.  In  addition,  as  it  is  discussed  below,  we  believe  that  Colombia  is  not  infringing  any  regulation  or  agreement that would justify a claim by the United States.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Heading2"/>
        <w:widowControl w:val="0"/>
        <w:contextualSpacing w:val="0"/>
        <w:jc w:val="both"/>
      </w:pPr>
      <w:bookmarkStart w:colFirst="0" w:colLast="0" w:name="_hhc8wso3e27m" w:id="5"/>
      <w:bookmarkEnd w:id="5"/>
      <w:r w:rsidDel="00000000" w:rsidR="00000000" w:rsidRPr="00000000">
        <w:rPr>
          <w:rtl w:val="0"/>
        </w:rPr>
        <w:t xml:space="preserve">1. Intellectual Property and Health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As a starting point, 2016 Special 301 Report states “IPR protection plays an important role in providing the incentives necessary for the development and marketing of new medicines. An effective, transparent, and predictable IPR system is necessary for both manufacturers of innovative medicines and manufacturers of generic medicines.” Nonetheless “discussions at WHO on how to address failures of the current monopoly-based R&amp;D system have been ongoing for over a decade”</w:t>
      </w:r>
      <w:r w:rsidDel="00000000" w:rsidR="00000000" w:rsidRPr="00000000">
        <w:rPr>
          <w:vertAlign w:val="superscript"/>
        </w:rPr>
        <w:footnoteReference w:customMarkFollows="0" w:id="10"/>
      </w:r>
      <w:r w:rsidDel="00000000" w:rsidR="00000000" w:rsidRPr="00000000">
        <w:rPr>
          <w:rtl w:val="0"/>
        </w:rPr>
        <w:t xml:space="preserve"> and, with the aim of proposing solutions for addressing the incoherencies between international human rights, trade, intellectual property rights and public health objectives, the The UN Secretary-General established back in 2015 the High-Level Panel on Access to Medicines, which released its report on September 2016.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An updated view from all stakeholders, including the United States, of the current global health challenges and how they are enhanced by IPR model, is needed in order to address the “significant gaps in health technology innovation and access that persist”</w:t>
      </w:r>
      <w:r w:rsidDel="00000000" w:rsidR="00000000" w:rsidRPr="00000000">
        <w:rPr>
          <w:vertAlign w:val="superscript"/>
        </w:rPr>
        <w:footnoteReference w:customMarkFollows="0" w:id="11"/>
      </w:r>
      <w:r w:rsidDel="00000000" w:rsidR="00000000" w:rsidRPr="00000000">
        <w:rPr>
          <w:rtl w:val="0"/>
        </w:rPr>
        <w:t xml:space="preserve">, not only in low and middle income countries but all around the world. We highly encourage the USTR to incorporate in its framework the recommendations contained in the United Nations Secretary-General’s High Level Panel on Access to Medicines Report in order to “stimulate public debate over ways of reforming the research-and-development system to better serve the global public interest”</w:t>
      </w:r>
      <w:r w:rsidDel="00000000" w:rsidR="00000000" w:rsidRPr="00000000">
        <w:rPr>
          <w:vertAlign w:val="superscript"/>
        </w:rPr>
        <w:footnoteReference w:customMarkFollows="0" w:id="12"/>
      </w:r>
      <w:r w:rsidDel="00000000" w:rsidR="00000000" w:rsidRPr="00000000">
        <w:rPr>
          <w:rtl w:val="0"/>
        </w:rPr>
        <w:t xml:space="preserve"> In this context we also urge the USTR to refrain from impeding the negotiation for a binding R&amp;D Global Convention that identifies a system of incentives for innovation that delink the expectation of patents and high drug prices.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We continue presenting our considerations with regards to specific aspects that refer to Colombia and access to medicines.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3"/>
        <w:numPr>
          <w:ilvl w:val="0"/>
          <w:numId w:val="1"/>
        </w:numPr>
        <w:ind w:left="720" w:hanging="360"/>
        <w:contextualSpacing w:val="1"/>
        <w:rPr/>
      </w:pPr>
      <w:bookmarkStart w:colFirst="0" w:colLast="0" w:name="_8u5213td6o9i" w:id="6"/>
      <w:bookmarkEnd w:id="6"/>
      <w:r w:rsidDel="00000000" w:rsidR="00000000" w:rsidRPr="00000000">
        <w:rPr>
          <w:rtl w:val="0"/>
        </w:rPr>
        <w:t xml:space="preserve">Granting of compulsory licenses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 xml:space="preserve">Whereas the  2016  Special  301  Report states that “the United States respects its trading partners’ rights to grant compulsory licenses in a manner consistent with the provisions of the TRIPS Agreement and the Doha Declaration on the TRIPS Agreement and the Public Health”, along the process to declare the access to imatinib under competition conditions of public interest </w:t>
      </w:r>
      <w:r w:rsidDel="00000000" w:rsidR="00000000" w:rsidRPr="00000000">
        <w:rPr>
          <w:rtl w:val="0"/>
        </w:rPr>
        <w:t xml:space="preserve">U.S. officials may have discouraged Colombian government officials from issuing the compulsory license.</w:t>
      </w:r>
      <w:r w:rsidDel="00000000" w:rsidR="00000000" w:rsidRPr="00000000">
        <w:rPr>
          <w:vertAlign w:val="superscript"/>
        </w:rPr>
        <w:footnoteReference w:customMarkFollows="0" w:id="13"/>
      </w:r>
      <w:r w:rsidDel="00000000" w:rsidR="00000000" w:rsidRPr="00000000">
        <w:rPr>
          <w:rtl w:val="0"/>
        </w:rPr>
        <w:t xml:space="preserve">These interventions have harmed this local process, by trying to block the public interest declaration and issuance of the compulsory license, and clearly oppose to the duty of the Government of United States to respect Colombia’s right to grant compulsory licenses.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 xml:space="preserve">Considering  this  situation,  what  is  evident  as  a  censurable  conduct  of  Colombian  Government  is  the  fact  of  not  exercising  its  right,  conferred  by  international  law  (TRIPS  and  Doha  Declaration),  of  using  as  much  as  possible  public  health  safeguards,  among  which  compulsory  licenses  stand  out  for  its  efficacy.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 xml:space="preserve">It  is  unjustifiable  that  while  Colombian  Government  grants  pharmaceutical  patents  continuously,  abided by TRIPS, since 1994 it has not granted not even one compulsory  license,  which  is  the  mechanism  provided  by  the  same  agreement  to  encourage  competition under national emergency or public interest circumstances.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 xml:space="preserve">How  valuable  would  be  for  the  undersigned  organizations  and  for  civil  society  in  general  to  find  that  the  USTR  encourages  Colombian  Government  to  exercise  its  right-obligation  of  granting  compulsory  licenses  to  favor  human  right  to  health,  which  is  above  trade  interests.</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pStyle w:val="Heading3"/>
        <w:numPr>
          <w:ilvl w:val="0"/>
          <w:numId w:val="1"/>
        </w:numPr>
        <w:ind w:left="720" w:hanging="360"/>
        <w:contextualSpacing w:val="1"/>
        <w:rPr/>
      </w:pPr>
      <w:bookmarkStart w:colFirst="0" w:colLast="0" w:name="_x47oe6evaekz" w:id="7"/>
      <w:bookmarkEnd w:id="7"/>
      <w:r w:rsidDel="00000000" w:rsidR="00000000" w:rsidRPr="00000000">
        <w:rPr>
          <w:rtl w:val="0"/>
        </w:rPr>
        <w:t xml:space="preserve">Local Production of Medicines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 xml:space="preserve">The  2016  Special  301  Report  states  “Proposals in  Colombia  and  Ecuador  designed  to  enhance  domestic  manufacturing  capacity  for  pharmaceuticals  could  adversely  affect  market  entry  and  investment  and,  in  effect,  limit  access  by  consumers  to  the  latest generation of medicines." The purpose of strengthening local production of medicines’  capacity  is  a  legitimate  national  development  objective  in  any  country  (for  example  United States or Colombia), from an economic perspective but specially because building local pharmaceutical production capacity is part of the strategies to increase access to affordable medicines</w:t>
      </w:r>
      <w:r w:rsidDel="00000000" w:rsidR="00000000" w:rsidRPr="00000000">
        <w:rPr>
          <w:vertAlign w:val="superscript"/>
        </w:rPr>
        <w:footnoteReference w:customMarkFollows="0" w:id="14"/>
      </w:r>
      <w:r w:rsidDel="00000000" w:rsidR="00000000" w:rsidRPr="00000000">
        <w:rPr>
          <w:rtl w:val="0"/>
        </w:rPr>
        <w:t xml:space="preserve">, due to the effect that competition has on  lowering  medicines’ prices  in  the  market.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 xml:space="preserve">By no means it is understandable that enhancing domestic manufacturing capacity for pharmaceuticals be considered a censurable matter while, from a human rights’ perspective, it should be received by Colombia’s trading partners as an achievement towards increasing the fulfillment of right to health of its citizens.</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 xml:space="preserve">Furthermore, the importance of increasing competition was highlighted by members of US  Congress  at  the  hearing  "Developments  in  the  prescription  drug  market:  oversight”,  convened  by  the  House  Oversight and Government Reform Committee for February 4th, 2016</w:t>
      </w:r>
      <w:r w:rsidDel="00000000" w:rsidR="00000000" w:rsidRPr="00000000">
        <w:rPr>
          <w:vertAlign w:val="superscript"/>
        </w:rPr>
        <w:footnoteReference w:customMarkFollows="0" w:id="15"/>
      </w:r>
      <w:r w:rsidDel="00000000" w:rsidR="00000000" w:rsidRPr="00000000">
        <w:rPr>
          <w:rtl w:val="0"/>
        </w:rPr>
        <w:t xml:space="preserve"> </w:t>
      </w:r>
      <w:r w:rsidDel="00000000" w:rsidR="00000000" w:rsidRPr="00000000">
        <w:rPr>
          <w:highlight w:val="yellow"/>
          <w:rtl w:val="0"/>
        </w:rPr>
        <w:t xml:space="preserve">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pStyle w:val="Heading3"/>
        <w:widowControl w:val="0"/>
        <w:contextualSpacing w:val="0"/>
        <w:jc w:val="both"/>
      </w:pPr>
      <w:bookmarkStart w:colFirst="0" w:colLast="0" w:name="_qg1zu3f3k5ap" w:id="8"/>
      <w:bookmarkEnd w:id="8"/>
      <w:r w:rsidDel="00000000" w:rsidR="00000000" w:rsidRPr="00000000">
        <w:rPr>
          <w:rtl w:val="0"/>
        </w:rPr>
        <w:t xml:space="preserve">C. Establishing a role for the health ministry in the examination of pharmaceutical patent applications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The  2016  Special  301  Report  states “However, other National Development Plan (NDP) provisions, depending on how they are interpreted and implemented, may undermine innovation and IP systems (e.g. establishing a role for the health ministry in the examination of pharmaceutical patent applications)”. As civil society organizations, we urge the Government of Colombia to promote the participation of  health  experts  in  reviewing  of  patent  applications,  which  is  consistent  with  the  trade  agreements  that  include  intellectual  property,  improve  patent  quality  and  prevents  "evergreening", therefore promoting public health and general welfare.    The  right  to  form  a  preliminary  patent  review  mechanism  comes  from  various  provisions of the TRIPS, among which stand: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numPr>
          <w:ilvl w:val="0"/>
          <w:numId w:val="3"/>
        </w:numPr>
        <w:ind w:left="720" w:hanging="360"/>
        <w:contextualSpacing w:val="1"/>
        <w:jc w:val="both"/>
        <w:rPr/>
      </w:pPr>
      <w:r w:rsidDel="00000000" w:rsidR="00000000" w:rsidRPr="00000000">
        <w:rPr>
          <w:rtl w:val="0"/>
        </w:rPr>
        <w:t xml:space="preserve">"Members  will  be  able  to  determine  freely  the  appropriate  method  of  implementing  the  provisions  of  this  Agreement  within  their  own  legal  system  and  practice"  (TRIPS  Art.  1),  which  implements  the  principle  of  national  sovereignty.</w:t>
      </w:r>
    </w:p>
    <w:p w:rsidR="00000000" w:rsidDel="00000000" w:rsidP="00000000" w:rsidRDefault="00000000" w:rsidRPr="00000000">
      <w:pPr>
        <w:keepNext w:val="0"/>
        <w:keepLines w:val="0"/>
        <w:widowControl w:val="0"/>
        <w:numPr>
          <w:ilvl w:val="0"/>
          <w:numId w:val="3"/>
        </w:numPr>
        <w:ind w:left="720" w:hanging="360"/>
        <w:contextualSpacing w:val="1"/>
        <w:jc w:val="both"/>
        <w:rPr/>
      </w:pPr>
      <w:r w:rsidDel="00000000" w:rsidR="00000000" w:rsidRPr="00000000">
        <w:rPr>
          <w:rtl w:val="0"/>
        </w:rPr>
        <w:t xml:space="preserve">“Members,  in  formulating  or  amending  their  laws  and  regulations,  may  adopt  measures necessary to protect public health and nutrition of the population, or  to  promote  the  public  interest  in  sectors  of  vital  importance  to  their  socio-economic and technological development"</w:t>
      </w:r>
    </w:p>
    <w:p w:rsidR="00000000" w:rsidDel="00000000" w:rsidP="00000000" w:rsidRDefault="00000000" w:rsidRPr="00000000">
      <w:pPr>
        <w:keepNext w:val="0"/>
        <w:keepLines w:val="0"/>
        <w:widowControl w:val="0"/>
        <w:numPr>
          <w:ilvl w:val="0"/>
          <w:numId w:val="3"/>
        </w:numPr>
        <w:ind w:left="720" w:hanging="360"/>
        <w:contextualSpacing w:val="1"/>
        <w:jc w:val="both"/>
        <w:rPr/>
      </w:pPr>
      <w:r w:rsidDel="00000000" w:rsidR="00000000" w:rsidRPr="00000000">
        <w:rPr>
          <w:rtl w:val="0"/>
        </w:rPr>
        <w:t xml:space="preserve">“It may be necessary to implement appropriate measures, provided that they are  compatible  with  the  provisions  of  this  Agreement,  to  prevent  the  abuse  of  intellectual  property  rights  by  right  holders  or  the  resort  to  practices  which  unreasonably  restrain  trade  or  adversely  affect  the  international  transfer  of  technology."</w:t>
      </w:r>
    </w:p>
    <w:p w:rsidR="00000000" w:rsidDel="00000000" w:rsidP="00000000" w:rsidRDefault="00000000" w:rsidRPr="00000000">
      <w:pPr>
        <w:keepNext w:val="0"/>
        <w:keepLines w:val="0"/>
        <w:widowControl w:val="0"/>
        <w:numPr>
          <w:ilvl w:val="0"/>
          <w:numId w:val="3"/>
        </w:numPr>
        <w:ind w:left="720" w:hanging="360"/>
        <w:contextualSpacing w:val="1"/>
        <w:jc w:val="both"/>
        <w:rPr/>
      </w:pPr>
      <w:r w:rsidDel="00000000" w:rsidR="00000000" w:rsidRPr="00000000">
        <w:rPr>
          <w:rtl w:val="0"/>
        </w:rPr>
        <w:t xml:space="preserve">"The  prerogative  to  choose  appropriate  performance  requirements  for  patentability  -­‐  novelty,  inventive  step  and  industrial  applicability  -­‐  implicit  in  TRIPS (Article 27.1.)"</w:t>
      </w:r>
    </w:p>
    <w:p w:rsidR="00000000" w:rsidDel="00000000" w:rsidP="00000000" w:rsidRDefault="00000000" w:rsidRPr="00000000">
      <w:pPr>
        <w:keepNext w:val="0"/>
        <w:keepLines w:val="0"/>
        <w:widowControl w:val="0"/>
        <w:numPr>
          <w:ilvl w:val="0"/>
          <w:numId w:val="3"/>
        </w:numPr>
        <w:ind w:left="720" w:hanging="360"/>
        <w:contextualSpacing w:val="1"/>
        <w:jc w:val="both"/>
        <w:rPr/>
      </w:pPr>
      <w:r w:rsidDel="00000000" w:rsidR="00000000" w:rsidRPr="00000000">
        <w:rPr>
          <w:rtl w:val="0"/>
        </w:rPr>
        <w:t xml:space="preserve">"Members  may  exclude  from  patentability  inventions  whose  commercial  exploitation within their territory must be prevented to protect public order or  morality, including to protect the health or life of people or animals ... " (TRIPS  art.27).      </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Based on the grounds listed above, the 2017 Special 301 Report should encourage Colombia to speed the implementation of a role for the health ministry in the examination of pharmaceutical patent application in order to generate the desirable outcomes in terms of patents quality and promotion of public health.</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pStyle w:val="Heading2"/>
        <w:widowControl w:val="0"/>
        <w:contextualSpacing w:val="0"/>
        <w:jc w:val="both"/>
      </w:pPr>
      <w:bookmarkStart w:colFirst="0" w:colLast="0" w:name="_7n7045pw5nne" w:id="9"/>
      <w:bookmarkEnd w:id="9"/>
      <w:r w:rsidDel="00000000" w:rsidR="00000000" w:rsidRPr="00000000">
        <w:rPr>
          <w:rtl w:val="0"/>
        </w:rPr>
        <w:t xml:space="preserve">2. Copyright</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We acknowledge that the 2016 report was not clearly mentioning specific copyright reforms. However, Colombian civil society is concerned that despite the fact that we have called to the attention of the USTR on the imbalance in the protection of human rights under current Colombian copyright legislation, none of those concerns are included when the USTR asks the government to amend the law.</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Considering that the Special 301 Report 2016 is unilateral and provide no data or proof for its complaints provides a poor understanding of the local situation. For instance, it mentions that piracy through mobile devices “continues to grow” but it offers no data and continues saying </w:t>
      </w:r>
      <w:r w:rsidDel="00000000" w:rsidR="00000000" w:rsidRPr="00000000">
        <w:rPr>
          <w:i w:val="1"/>
          <w:rtl w:val="0"/>
        </w:rPr>
        <w:t xml:space="preserve">“Colombian law enforcement authorities with relevant jurisdiction, including the National Police and the Attorney General, have yet to conduct meaningful and sustained investigations and prosecutions against the operators of significant large pirate websites and mobile applications based in Colombia”</w:t>
      </w:r>
      <w:r w:rsidDel="00000000" w:rsidR="00000000" w:rsidRPr="00000000">
        <w:rPr>
          <w:rtl w:val="0"/>
        </w:rPr>
        <w:t xml:space="preserve">. Again, no data, no concrete evidence that could support this statement.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The USTR 301 Report statements on online piracy and mentions to the San Andresito’s situation as “major problems” without proofs can not be the basis to pressure Colombia or prove the existence of a scourge, especially if this can have important economic consequences.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In contrast, Colombia continue to develop a local and legal digital economy with a huge public investment that does not benefit from the stigmatization and piracy label that the 301 Report represents. Colombia is one of the countries in the Latin Americ</w:t>
      </w:r>
      <w:r w:rsidDel="00000000" w:rsidR="00000000" w:rsidRPr="00000000">
        <w:rPr>
          <w:rtl w:val="0"/>
        </w:rPr>
        <w:t xml:space="preserve">a</w:t>
      </w:r>
      <w:r w:rsidDel="00000000" w:rsidR="00000000" w:rsidRPr="00000000">
        <w:rPr>
          <w:rtl w:val="0"/>
        </w:rPr>
        <w:t xml:space="preserve">n region that has an important legal system to protect IPR  and  the rights holders interests. Once again we reiterate that  Colombia should not be part of  this menacing black list, unless that  this  index  is  one  which  emphasizes  the  shortcomings  in  the  protection  of  the  rights  of  users  and  the  lack  of  support  for  more open approaches to the rights author law that balance it with other fundamental rights  such  as  freedom  of  expression  and  access  to  knowledge  (education,  culture  and  science). Definitely a place where little has been done. If the USTR decides to make such an index will show that a focused market copyright, which gives priority only to holders in the equation, produces significant threats to human rights.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During 2016 the government accepted the need to discuss the possible copyright reforms with others but still the actions of  the Colombian  government is focused  primarily on providing  training  in  copyright.  Such  training,  though  all  taxpayers’  persons  fund  it,  has  focused  primarily on the needs of the industry and has left relegated the importance of culture as a value and the need for a balanced legal framework where the opening and rights of users people  have  an  important  place.  The  courses  offered  by  the  National  Copyright  Office  (such  as  copyright  in  the  music  industry,  copyright  in  the  publishing  industry,  copyright in the software industry, copyright in the audiovisual industry and even the  course copyright for children) demonstrate precisely this approach in which guarantees  for the exercise of fundamental rights have no role or are not even mentioned. Something similar happens with the social networks where only copyright holder's interests are mentioned.</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Therefore, the 2016 report should account for the impassivity of the Colombian government  to  fulfill  the  country's  commitments  to  balance  the  copyright  system  to  facilitate  the  exercise of the rights of visually impaired people and all those who have a disability that not allow them  to  read  along.  Since  2013,  Colombia  signed  the  Treaty  of  Marrakesh  proposed by the OMPI, but another year went through and the Treaty has not been submitted for ratification by the Congress. USTR position to choose to account only  what  it  considers  are  violations  of  the  state  with  the  holders  of  the  copyrights  forget  that the Colombian state also has a </w:t>
      </w:r>
      <w:r w:rsidDel="00000000" w:rsidR="00000000" w:rsidRPr="00000000">
        <w:rPr>
          <w:i w:val="1"/>
          <w:rtl w:val="0"/>
        </w:rPr>
        <w:t xml:space="preserve">"positive obligation to establish a robust and flexible  system of exceptions and limitations to the copyright to fulfill its obligations on human  rights."</w:t>
      </w:r>
      <w:r w:rsidDel="00000000" w:rsidR="00000000" w:rsidRPr="00000000">
        <w:rPr>
          <w:vertAlign w:val="superscript"/>
        </w:rPr>
        <w:footnoteReference w:customMarkFollows="0" w:id="16"/>
      </w:r>
      <w:r w:rsidDel="00000000" w:rsidR="00000000" w:rsidRPr="00000000">
        <w:rPr>
          <w:rtl w:val="0"/>
        </w:rPr>
        <w:t xml:space="preserve"> Precisely, copyright has a number of mechanisms to balance the protection of  authors  and  rights  holders  people  with  guarantees  for  the  exercise  of  fundamental  rights.  The  USTR  should  expressly  recognize  that  such  guarantees  are  commercially important  because  they  are  essential  to  the  system  of  copyright,  and  that  the  fear  of  piracy doesn’t justify any measure of enforcement of IPRs.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Once again, the Special 301 Report should not be used "to pressure countries to adopt  intellectual  property  protection  that  exceeds  the  level  required  by  the  TRIPS  Agreement"  or  "to  pressure  countries  to  adopt  intellectual  property  protection  that  exceeds the level of protection that is in the law of the United States." Otherwise, it is a neo colonial tool.  The declaration from the Chilean government</w:t>
      </w:r>
      <w:r w:rsidDel="00000000" w:rsidR="00000000" w:rsidRPr="00000000">
        <w:rPr>
          <w:vertAlign w:val="superscript"/>
        </w:rPr>
        <w:footnoteReference w:customMarkFollows="0" w:id="17"/>
      </w:r>
      <w:r w:rsidDel="00000000" w:rsidR="00000000" w:rsidRPr="00000000">
        <w:rPr>
          <w:rtl w:val="0"/>
        </w:rPr>
        <w:t xml:space="preserve"> regarding this 301 special report 2015 is clear when stating “that it does not reflect our reality, nor it reflects the advancements of our country”, such words can be used by Colombia as well. According to the Chilean government it is a unilateral document produced by the United States, it has no clear criteria to determine the status of the different countries, but overall it “reflects the interest of the North American industry to selectively enforce their intellectual property standards to other countries”.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The  reform  of  copyright  to  be  carried  out  in  Colombia  needs  to  address not only the interests of right holders but also the needs of Colombian society to  develop a balanced cultural  ecosystem. This  should  be  an  important  focus  of  the  US  government as a whole.</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b w:val="1"/>
          <w:rtl w:val="0"/>
        </w:rPr>
        <w:t xml:space="preserve">Due  to  all  what we  have  stated  throughout  this  document,  the  undersigned  do  not  recognize  the  legitimacy  of  the  list  exposed  in  the  Special  301  Report  and  we  find  it against multilateral regulation </w:t>
      </w:r>
      <w:r w:rsidDel="00000000" w:rsidR="00000000" w:rsidRPr="00000000">
        <w:rPr>
          <w:rtl w:val="0"/>
        </w:rPr>
        <w:t xml:space="preserve">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Carolina Botero Cabrera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Karisma Foundation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contacto@karisma.org.co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Francisco Rossi Buenaventura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IFARMA Foundation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ifarma@ifarma.org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Germán Holguín Zamorano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Misión Salud  </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t xml:space="preserve">direccion@mision-salud.org</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Fundación Karisma. Una vez más solicitamos que Colombia sea retirada del Informe Especial  </w:t>
      </w:r>
    </w:p>
    <w:p w:rsidR="00000000" w:rsidDel="00000000" w:rsidP="00000000" w:rsidRDefault="00000000" w:rsidRPr="00000000">
      <w:pPr>
        <w:widowControl w:val="0"/>
        <w:contextualSpacing w:val="0"/>
      </w:pPr>
      <w:r w:rsidDel="00000000" w:rsidR="00000000" w:rsidRPr="00000000">
        <w:rPr>
          <w:rtl w:val="0"/>
        </w:rPr>
        <w:t xml:space="preserve">301. [Online]. 2013 [Cited: 2017 Feb 9]. Available at: </w:t>
      </w:r>
      <w:hyperlink r:id="rId1">
        <w:r w:rsidDel="00000000" w:rsidR="00000000" w:rsidRPr="00000000">
          <w:rPr>
            <w:color w:val="1155cc"/>
            <w:u w:val="single"/>
            <w:rtl w:val="0"/>
          </w:rPr>
          <w:t xml:space="preserve">http://karisma.org.co/?p=2029</w:t>
        </w:r>
      </w:hyperlink>
      <w:r w:rsidDel="00000000" w:rsidR="00000000" w:rsidRPr="00000000">
        <w:rPr>
          <w:rtl w:val="0"/>
        </w:rPr>
        <w:t xml:space="preserve">  And  Fundación Karisma, Colombia debería ser retirada de la lista 301. [Cited: 2017 Feb 9]. Available  at: </w:t>
      </w:r>
      <w:hyperlink r:id="rId2">
        <w:r w:rsidDel="00000000" w:rsidR="00000000" w:rsidRPr="00000000">
          <w:rPr>
            <w:color w:val="1155cc"/>
            <w:u w:val="single"/>
            <w:rtl w:val="0"/>
          </w:rPr>
          <w:t xml:space="preserve">http://karisma.org.co/?p=611</w:t>
        </w:r>
      </w:hyperlink>
      <w:r w:rsidDel="00000000" w:rsidR="00000000" w:rsidRPr="00000000">
        <w:rPr>
          <w:rtl w:val="0"/>
        </w:rPr>
        <w:t xml:space="preserve"> </w:t>
      </w:r>
      <w:r w:rsidDel="00000000" w:rsidR="00000000" w:rsidRPr="00000000">
        <w:rPr>
          <w:rtl w:val="0"/>
        </w:rPr>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Misión Salud. Organizaciones de la Sociedad Civil Colombiana cuestionan la legitimidad del  Informe Especial 301. [Online]. 2014 y 2015. [Cited: 2017 Feb 8]. Available at:  </w:t>
      </w:r>
      <w:hyperlink r:id="rId3">
        <w:r w:rsidDel="00000000" w:rsidR="00000000" w:rsidRPr="00000000">
          <w:rPr>
            <w:color w:val="1155cc"/>
            <w:u w:val="single"/>
            <w:rtl w:val="0"/>
          </w:rPr>
          <w:t xml:space="preserve">http://www.mision-salud.org/2014/02/21/la-propuesta-del-ustr-para-el-capitulo-de-propiedad-intelectual-del-acuerdo-de-asociacion-transpacifico-tpp-arriesga-el-acceso-a-los-medicamentos-para-todos/</w:t>
        </w:r>
      </w:hyperlink>
      <w:r w:rsidDel="00000000" w:rsidR="00000000" w:rsidRPr="00000000">
        <w:rPr>
          <w:rtl w:val="0"/>
        </w:rPr>
        <w:t xml:space="preserve">   </w:t>
      </w:r>
      <w:r w:rsidDel="00000000" w:rsidR="00000000" w:rsidRPr="00000000">
        <w:rPr>
          <w:rtl w:val="0"/>
        </w:rPr>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Similar approaches had already been addressed by countries like Chile: EFE. Chile es incluido  </w:t>
      </w:r>
    </w:p>
    <w:p w:rsidR="00000000" w:rsidDel="00000000" w:rsidP="00000000" w:rsidRDefault="00000000" w:rsidRPr="00000000">
      <w:pPr>
        <w:widowControl w:val="0"/>
        <w:contextualSpacing w:val="0"/>
      </w:pPr>
      <w:r w:rsidDel="00000000" w:rsidR="00000000" w:rsidRPr="00000000">
        <w:rPr>
          <w:rtl w:val="0"/>
        </w:rPr>
        <w:t xml:space="preserve">en “Lista Negra” de Piratería, pero Gobierno desconoce legitimidad. [Online]. Nación.cl. 2013  May 1 [Cited: 2017 Feb 9]. Available at:  </w:t>
      </w:r>
      <w:hyperlink r:id="rId4">
        <w:r w:rsidDel="00000000" w:rsidR="00000000" w:rsidRPr="00000000">
          <w:rPr>
            <w:color w:val="1155cc"/>
            <w:u w:val="single"/>
            <w:rtl w:val="0"/>
          </w:rPr>
          <w:t xml:space="preserve">http://www.lanacion.cl/chile-es-incluido-en-lista-negra-de-pirateria-pero-gobierno-desconoce-legitimidad/noticias/2013-05-01/160857.html</w:t>
        </w:r>
      </w:hyperlink>
      <w:r w:rsidDel="00000000" w:rsidR="00000000" w:rsidRPr="00000000">
        <w:rPr>
          <w:rtl w:val="0"/>
        </w:rPr>
        <w:t xml:space="preserve"> </w:t>
      </w:r>
      <w:r w:rsidDel="00000000" w:rsidR="00000000" w:rsidRPr="00000000">
        <w:rPr>
          <w:rtl w:val="0"/>
        </w:rPr>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Flynn S. Submission to the U. S. Trade Representative and Notice of Intent to Testify. [Online].  2014 Feb 7 [Cited: 2017 Feb 9]. Available at the cache link:  </w:t>
      </w:r>
      <w:hyperlink r:id="rId5">
        <w:r w:rsidDel="00000000" w:rsidR="00000000" w:rsidRPr="00000000">
          <w:rPr>
            <w:color w:val="1155cc"/>
            <w:u w:val="single"/>
            <w:rtl w:val="0"/>
          </w:rPr>
          <w:t xml:space="preserve">http://webcache.googleusercontent.com/search?q=cache:dTxrdD4IwTMJ:infojustice.org/wp-content/uploads/2014/02/Flynn-2014-Special-301-Submission.doc+&amp;cd=1&amp;hl=es&amp;ct=clnk&amp;gl=co</w:t>
        </w:r>
      </w:hyperlink>
      <w:r w:rsidDel="00000000" w:rsidR="00000000" w:rsidRPr="00000000">
        <w:rPr>
          <w:rtl w:val="0"/>
        </w:rPr>
        <w:t xml:space="preserve"> </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Zhou, Suzanne, Challenging the Use of the US Special 301 Procedures against Developing  </w:t>
      </w:r>
    </w:p>
    <w:p w:rsidR="00000000" w:rsidDel="00000000" w:rsidP="00000000" w:rsidRDefault="00000000" w:rsidRPr="00000000">
      <w:pPr>
        <w:widowControl w:val="0"/>
        <w:contextualSpacing w:val="0"/>
      </w:pPr>
      <w:r w:rsidDel="00000000" w:rsidR="00000000" w:rsidRPr="00000000">
        <w:rPr>
          <w:rtl w:val="0"/>
        </w:rPr>
        <w:t xml:space="preserve">Country Access to Medicines Policies -­‐ Indian Pharmaceutical Patents and the WTO (September  1, 2015). Pages 13 and 20. [Cited: 2017 Feb 9] Available at  SSRN:</w:t>
      </w:r>
      <w:hyperlink r:id="rId6">
        <w:r w:rsidDel="00000000" w:rsidR="00000000" w:rsidRPr="00000000">
          <w:rPr>
            <w:color w:val="1155cc"/>
            <w:u w:val="single"/>
            <w:rtl w:val="0"/>
          </w:rPr>
          <w:t xml:space="preserve">http://ssrn.com/abstract=2675990</w:t>
        </w:r>
      </w:hyperlink>
      <w:r w:rsidDel="00000000" w:rsidR="00000000" w:rsidRPr="00000000">
        <w:rPr>
          <w:rtl w:val="0"/>
        </w:rPr>
        <w:t xml:space="preserve"> </w:t>
      </w:r>
      <w:r w:rsidDel="00000000" w:rsidR="00000000" w:rsidRPr="00000000">
        <w:rPr>
          <w:rtl w:val="0"/>
        </w:rPr>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Susan Sell, ‘TRIPS and the Access to Medicines Campaign’ (2002) 20 Wisconsin International  Law Journal 481 , 500-­‐504. Cited by Zhou, Suzanne. Op cit. Footnote 106. [Cited: 2017 Feb 9]</w:t>
      </w:r>
      <w:r w:rsidDel="00000000" w:rsidR="00000000" w:rsidRPr="00000000">
        <w:rPr>
          <w:rtl w:val="0"/>
        </w:rPr>
      </w:r>
    </w:p>
  </w:footnote>
  <w:footnote w:id="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Moser, Petra. Patents and Innovation in Economic History (January 28, 2016). [Cited: 2017 Feb 9] Available at  SSRN: </w:t>
      </w:r>
      <w:hyperlink r:id="rId7">
        <w:r w:rsidDel="00000000" w:rsidR="00000000" w:rsidRPr="00000000">
          <w:rPr>
            <w:color w:val="1155cc"/>
            <w:sz w:val="20"/>
            <w:szCs w:val="20"/>
            <w:u w:val="single"/>
            <w:rtl w:val="0"/>
          </w:rPr>
          <w:t xml:space="preserve">http://ssrn.com/abstract=2712428</w:t>
        </w:r>
      </w:hyperlink>
      <w:r w:rsidDel="00000000" w:rsidR="00000000" w:rsidRPr="00000000">
        <w:rPr>
          <w:sz w:val="20"/>
          <w:szCs w:val="20"/>
          <w:rtl w:val="0"/>
        </w:rPr>
        <w:t xml:space="preserve">  </w:t>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Zhou, Suzanne. Op cit. Page 11. [Cited: 2016 Feb 5] </w:t>
      </w:r>
      <w:r w:rsidDel="00000000" w:rsidR="00000000" w:rsidRPr="00000000">
        <w:rPr>
          <w:rtl w:val="0"/>
        </w:rPr>
      </w:r>
    </w:p>
  </w:footnote>
  <w:footnote w:id="1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Report of the Special Rapporteur on Cultural Rights, Farida Shaheed. A/HRC/28/57.  UN (2014).  That can be read at </w:t>
      </w:r>
      <w:hyperlink r:id="rId8">
        <w:r w:rsidDel="00000000" w:rsidR="00000000" w:rsidRPr="00000000">
          <w:rPr>
            <w:color w:val="1155cc"/>
            <w:sz w:val="20"/>
            <w:szCs w:val="20"/>
            <w:u w:val="single"/>
            <w:rtl w:val="0"/>
          </w:rPr>
          <w:t xml:space="preserve">http://www.ohchr.org/EN/HRBodies/HRC/RegularSessions/Session28/Documents/A_HRC_28_57_SPA.doc</w:t>
        </w:r>
      </w:hyperlink>
      <w:r w:rsidDel="00000000" w:rsidR="00000000" w:rsidRPr="00000000">
        <w:rPr>
          <w:sz w:val="20"/>
          <w:szCs w:val="20"/>
          <w:rtl w:val="0"/>
        </w:rPr>
        <w:t xml:space="preserve"> </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tl w:val="0"/>
        </w:rPr>
        <w:t xml:space="preserve"> Misión Salud. Proceso “Special 301” en 2016. [Online]. 2016. [Cited 2017 Feb 8]. Available at: </w:t>
      </w:r>
      <w:hyperlink r:id="rId9">
        <w:r w:rsidDel="00000000" w:rsidR="00000000" w:rsidRPr="00000000">
          <w:rPr>
            <w:color w:val="1155cc"/>
            <w:u w:val="single"/>
            <w:rtl w:val="0"/>
          </w:rPr>
          <w:t xml:space="preserve">http://www.mision-salud.org/2016/02/08/proceso-special-301-en-2016-concluida-primera-fase-de-este-tradicional-instrumento-de-presion/</w:t>
        </w:r>
      </w:hyperlink>
      <w:r w:rsidDel="00000000" w:rsidR="00000000" w:rsidRPr="00000000">
        <w:rPr>
          <w:rtl w:val="0"/>
        </w:rPr>
        <w:t xml:space="preserve"> </w:t>
      </w:r>
    </w:p>
  </w:footnote>
  <w:footnote w:id="1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Declaration can be found here </w:t>
      </w:r>
      <w:hyperlink r:id="rId10">
        <w:r w:rsidDel="00000000" w:rsidR="00000000" w:rsidRPr="00000000">
          <w:rPr>
            <w:color w:val="1155cc"/>
            <w:sz w:val="20"/>
            <w:szCs w:val="20"/>
            <w:u w:val="single"/>
            <w:rtl w:val="0"/>
          </w:rPr>
          <w:t xml:space="preserve">http://www.direcon.gob.cl/2015/04/declaracion-oficial-con-respecto-a-la-publicacion-del-reporte-especial-301-de-eeuu-senalamos-lo-siguiente/?lang=es</w:t>
        </w:r>
      </w:hyperlink>
      <w:r w:rsidDel="00000000" w:rsidR="00000000" w:rsidRPr="00000000">
        <w:rPr>
          <w:sz w:val="20"/>
          <w:szCs w:val="20"/>
          <w:rtl w:val="0"/>
        </w:rPr>
        <w:t xml:space="preserve"> </w:t>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United Nations Secretary-General’s High Level Panel on Access to Medicines. The United Nations Secretary-General’s High Level Panel on Access to Medicines Report. 14th September 2016. [Cited: 2017 Feb 9] Available at </w:t>
      </w:r>
      <w:hyperlink r:id="rId11">
        <w:r w:rsidDel="00000000" w:rsidR="00000000" w:rsidRPr="00000000">
          <w:rPr>
            <w:color w:val="1155cc"/>
            <w:sz w:val="20"/>
            <w:szCs w:val="20"/>
            <w:u w:val="single"/>
            <w:rtl w:val="0"/>
          </w:rPr>
          <w:t xml:space="preserve">http://www.unsgaccessmeds.org/final-report</w:t>
        </w:r>
      </w:hyperlink>
      <w:r w:rsidDel="00000000" w:rsidR="00000000" w:rsidRPr="00000000">
        <w:rPr>
          <w:sz w:val="20"/>
          <w:szCs w:val="20"/>
          <w:rtl w:val="0"/>
        </w:rPr>
        <w:t xml:space="preserve"> </w:t>
      </w:r>
    </w:p>
  </w:footnote>
  <w:footnote w:id="1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official website of the hearing is </w:t>
      </w:r>
      <w:hyperlink r:id="rId12">
        <w:r w:rsidDel="00000000" w:rsidR="00000000" w:rsidRPr="00000000">
          <w:rPr>
            <w:color w:val="1155cc"/>
            <w:u w:val="single"/>
            <w:rtl w:val="0"/>
          </w:rPr>
          <w:t xml:space="preserve">https://oversight.house.gov/hearing/developments-in-the-prescription-drug-market-oversight/</w:t>
        </w:r>
      </w:hyperlink>
      <w:r w:rsidDel="00000000" w:rsidR="00000000" w:rsidRPr="00000000">
        <w:rPr>
          <w:rtl w:val="0"/>
        </w:rPr>
        <w:t xml:space="preserve"> </w:t>
      </w:r>
      <w:r w:rsidDel="00000000" w:rsidR="00000000" w:rsidRPr="00000000">
        <w:rPr>
          <w:rtl w:val="0"/>
        </w:rPr>
      </w:r>
    </w:p>
  </w:footnote>
  <w:footnote w:id="1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United Nations Conference on Trade and Development. Program on local pharmaceutical production and access to medicines. 2006. [Cited: 2017 Feb 9] Available at: </w:t>
      </w:r>
      <w:hyperlink r:id="rId13">
        <w:r w:rsidDel="00000000" w:rsidR="00000000" w:rsidRPr="00000000">
          <w:rPr>
            <w:color w:val="1155cc"/>
            <w:sz w:val="20"/>
            <w:szCs w:val="20"/>
            <w:u w:val="single"/>
            <w:rtl w:val="0"/>
          </w:rPr>
          <w:t xml:space="preserve">http://unctad.org/en/Pages/DIAE/Intellectual%20Property/Building-local-pharmaceutical-production--supply-capacity.aspx</w:t>
        </w:r>
      </w:hyperlink>
      <w:r w:rsidDel="00000000" w:rsidR="00000000" w:rsidRPr="00000000">
        <w:rPr>
          <w:sz w:val="20"/>
          <w:szCs w:val="20"/>
          <w:rtl w:val="0"/>
        </w:rPr>
        <w:t xml:space="preserve"> </w:t>
      </w:r>
    </w:p>
  </w:footnote>
  <w:footnote w:id="1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Barber, M, Gotham, D, Montaña J, Balasubramaniam, T, et al. Open letter to the candidates for Director-General of WHO: will you support a patient-centred R&amp;D agreement?. The Lancet Global Health. 9th December 2016. [Cited: 2017 Feb 9] Available at: </w:t>
      </w:r>
      <w:hyperlink r:id="rId14">
        <w:r w:rsidDel="00000000" w:rsidR="00000000" w:rsidRPr="00000000">
          <w:rPr>
            <w:color w:val="1155cc"/>
            <w:sz w:val="20"/>
            <w:szCs w:val="20"/>
            <w:u w:val="single"/>
            <w:rtl w:val="0"/>
          </w:rPr>
          <w:t xml:space="preserve">http://www.thelancet.com/journals/langlo/article/PIIS2214-109X(16)30353-9/fulltext</w:t>
        </w:r>
      </w:hyperlink>
      <w:r w:rsidDel="00000000" w:rsidR="00000000" w:rsidRPr="00000000">
        <w:rPr>
          <w:sz w:val="20"/>
          <w:szCs w:val="20"/>
          <w:rtl w:val="0"/>
        </w:rPr>
        <w:t xml:space="preserve"> </w:t>
      </w:r>
    </w:p>
  </w:footnote>
  <w:footnote w:id="1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Moon, S. Powerful Ideas for Global Access to Medicines. The New England Journal of Medicine. January 18th 2017. [Cited: 2017 Feb 9] Available at: </w:t>
      </w:r>
      <w:hyperlink r:id="rId15">
        <w:r w:rsidDel="00000000" w:rsidR="00000000" w:rsidRPr="00000000">
          <w:rPr>
            <w:color w:val="1155cc"/>
            <w:sz w:val="20"/>
            <w:szCs w:val="20"/>
            <w:u w:val="single"/>
            <w:rtl w:val="0"/>
          </w:rPr>
          <w:t xml:space="preserve">http://www.nejm.org/doi/full/10.1056/NEJMp1613861</w:t>
        </w:r>
      </w:hyperlink>
      <w:r w:rsidDel="00000000" w:rsidR="00000000" w:rsidRPr="00000000">
        <w:rPr>
          <w:sz w:val="20"/>
          <w:szCs w:val="20"/>
          <w:rtl w:val="0"/>
        </w:rPr>
        <w:t xml:space="preserve"> </w:t>
      </w:r>
    </w:p>
  </w:footnote>
  <w:footnote w:id="1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Letter addressed to the Honorable Michael Froman by 17 members of the House of Representatives. May 25th 2016. [Cited: 2017 Feb 9] Available at: </w:t>
      </w:r>
      <w:hyperlink r:id="rId16">
        <w:r w:rsidDel="00000000" w:rsidR="00000000" w:rsidRPr="00000000">
          <w:rPr>
            <w:color w:val="1155cc"/>
            <w:sz w:val="20"/>
            <w:szCs w:val="20"/>
            <w:u w:val="single"/>
            <w:rtl w:val="0"/>
          </w:rPr>
          <w:t xml:space="preserve">https://www.minsalud.gov.co/sites/rid/Lists/BibliotecaDigital/RIDE/VS/MET/Pronunciamiento-congreso-estados-unidos.pdf</w:t>
        </w:r>
      </w:hyperlink>
      <w:r w:rsidDel="00000000" w:rsidR="00000000" w:rsidRPr="00000000">
        <w:rPr>
          <w:sz w:val="20"/>
          <w:szCs w:val="20"/>
          <w:rtl w:val="0"/>
        </w:rPr>
        <w:t xml:space="preserve"> </w:t>
      </w:r>
    </w:p>
  </w:footnote>
  <w:footnote w:id="1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United Nations Secretary-General’s High Level Panel on Access to Medicines. Op cit.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1" Type="http://schemas.openxmlformats.org/officeDocument/2006/relationships/hyperlink" Target="http://www.unsgaccessmeds.org/final-report" TargetMode="External"/><Relationship Id="rId10" Type="http://schemas.openxmlformats.org/officeDocument/2006/relationships/hyperlink" Target="http://www.direcon.gob.cl/2015/04/declaracion-oficial-con-respecto-a-la-publicacion-del-reporte-especial-301-de-eeuu-senalamos-lo-siguiente/?lang=es" TargetMode="External"/><Relationship Id="rId13" Type="http://schemas.openxmlformats.org/officeDocument/2006/relationships/hyperlink" Target="http://unctad.org/en/Pages/DIAE/Intellectual%20Property/Building-local-pharmaceutical-production--supply-capacity.aspx" TargetMode="External"/><Relationship Id="rId12" Type="http://schemas.openxmlformats.org/officeDocument/2006/relationships/hyperlink" Target="https://oversight.house.gov/hearing/developments-in-the-prescription-drug-market-oversight/" TargetMode="External"/><Relationship Id="rId1" Type="http://schemas.openxmlformats.org/officeDocument/2006/relationships/hyperlink" Target="http://karisma.org.co/?p=2029" TargetMode="External"/><Relationship Id="rId2" Type="http://schemas.openxmlformats.org/officeDocument/2006/relationships/hyperlink" Target="http://karisma.org.co/?p=611" TargetMode="External"/><Relationship Id="rId3" Type="http://schemas.openxmlformats.org/officeDocument/2006/relationships/hyperlink" Target="http://www.mision-salud.org/2014/02/21/la-propuesta-del-ustr-para-el-capitulo-de-propiedad-intelectual-del-acuerdo-de-asociacion-transpacifico-tpp-arriesga-el-acceso-a-los-medicamentos-para-todos/" TargetMode="External"/><Relationship Id="rId4" Type="http://schemas.openxmlformats.org/officeDocument/2006/relationships/hyperlink" Target="http://www.lanacion.cl/chile-es-incluido-en-lista-negra-de-pirateria-pero-gobierno-desconoce-legitimidad/noticias/2013-05-01/160857.html" TargetMode="External"/><Relationship Id="rId9" Type="http://schemas.openxmlformats.org/officeDocument/2006/relationships/hyperlink" Target="http://www.mision-salud.org/2016/02/08/proceso-special-301-en-2016-concluida-primera-fase-de-este-tradicional-instrumento-de-presion/" TargetMode="External"/><Relationship Id="rId15" Type="http://schemas.openxmlformats.org/officeDocument/2006/relationships/hyperlink" Target="http://www.nejm.org/doi/full/10.1056/NEJMp1613861" TargetMode="External"/><Relationship Id="rId14" Type="http://schemas.openxmlformats.org/officeDocument/2006/relationships/hyperlink" Target="http://www.thelancet.com/journals/langlo/article/PIIS2214-109X(16)30353-9/fulltext" TargetMode="External"/><Relationship Id="rId16" Type="http://schemas.openxmlformats.org/officeDocument/2006/relationships/hyperlink" Target="https://www.minsalud.gov.co/sites/rid/Lists/BibliotecaDigital/RIDE/VS/MET/Pronunciamiento-congreso-estados-unidos.pdf" TargetMode="External"/><Relationship Id="rId5" Type="http://schemas.openxmlformats.org/officeDocument/2006/relationships/hyperlink" Target="http://webcache.googleusercontent.com/search?q=cache:dTxrdD4IwTMJ:infojustice.org/wp-content/uploads/2014/02/Flynn-2014-Special-301-Submission.doc+&amp;cd=1&amp;hl=es&amp;ct=clnk&amp;gl=co" TargetMode="External"/><Relationship Id="rId6" Type="http://schemas.openxmlformats.org/officeDocument/2006/relationships/hyperlink" Target="http://ssrn.com/abstract=2675990" TargetMode="External"/><Relationship Id="rId7" Type="http://schemas.openxmlformats.org/officeDocument/2006/relationships/hyperlink" Target="http://ssrn.com/abstract=2712428" TargetMode="External"/><Relationship Id="rId8" Type="http://schemas.openxmlformats.org/officeDocument/2006/relationships/hyperlink" Target="http://www.ohchr.org/EN/HRBodies/HRC/RegularSessions/Session28/Documents/A_HRC_28_57_SPA.doc" TargetMode="External"/></Relationships>
</file>